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37771" w14:textId="682CBB78" w:rsidR="00DA7422" w:rsidRPr="00994A73" w:rsidRDefault="00FE22B4">
      <w:pPr>
        <w:tabs>
          <w:tab w:val="left" w:pos="1499"/>
          <w:tab w:val="left" w:pos="4180"/>
        </w:tabs>
        <w:rPr>
          <w:rFonts w:ascii="Arial" w:hAnsi="Arial" w:cs="Arial"/>
          <w:b/>
          <w:color w:val="000000"/>
          <w:sz w:val="24"/>
        </w:rPr>
      </w:pPr>
      <w:r w:rsidRPr="00994A73">
        <w:rPr>
          <w:rFonts w:ascii="Arial" w:hAnsi="Arial" w:cs="Arial"/>
          <w:b/>
          <w:color w:val="000000"/>
          <w:sz w:val="24"/>
        </w:rPr>
        <w:t>3GPP TSG-RAN WG2 Meeting #116b</w:t>
      </w:r>
      <w:r w:rsidR="0092206F" w:rsidRPr="00994A73">
        <w:rPr>
          <w:rFonts w:ascii="Arial" w:hAnsi="Arial" w:cs="Arial"/>
          <w:b/>
          <w:color w:val="000000"/>
          <w:sz w:val="24"/>
        </w:rPr>
        <w:t>is-e</w:t>
      </w:r>
      <w:r w:rsidRPr="00994A73">
        <w:rPr>
          <w:rFonts w:ascii="Arial" w:hAnsi="Arial" w:cs="Arial"/>
          <w:b/>
          <w:color w:val="000000"/>
          <w:sz w:val="24"/>
        </w:rPr>
        <w:tab/>
      </w:r>
      <w:r w:rsidRPr="00994A73">
        <w:rPr>
          <w:rFonts w:ascii="Arial" w:hAnsi="Arial" w:cs="Arial"/>
          <w:b/>
          <w:color w:val="000000"/>
          <w:sz w:val="24"/>
        </w:rPr>
        <w:tab/>
      </w:r>
      <w:r w:rsidRPr="00994A73">
        <w:rPr>
          <w:rFonts w:ascii="Arial" w:hAnsi="Arial" w:cs="Arial"/>
          <w:b/>
          <w:color w:val="000000"/>
          <w:sz w:val="24"/>
        </w:rPr>
        <w:tab/>
      </w:r>
      <w:r w:rsidRPr="00994A73">
        <w:rPr>
          <w:rFonts w:ascii="Arial" w:hAnsi="Arial" w:cs="Arial"/>
          <w:b/>
          <w:color w:val="000000"/>
          <w:sz w:val="24"/>
        </w:rPr>
        <w:tab/>
      </w:r>
      <w:r w:rsidRPr="00994A73">
        <w:rPr>
          <w:rFonts w:ascii="Arial" w:hAnsi="Arial" w:cs="Arial"/>
          <w:b/>
          <w:color w:val="000000"/>
          <w:sz w:val="24"/>
        </w:rPr>
        <w:tab/>
        <w:t>R2-2</w:t>
      </w:r>
      <w:r w:rsidR="0092206F" w:rsidRPr="00994A73">
        <w:rPr>
          <w:rFonts w:ascii="Arial" w:hAnsi="Arial" w:cs="Arial"/>
          <w:b/>
          <w:color w:val="000000"/>
          <w:sz w:val="24"/>
        </w:rPr>
        <w:t>200970</w:t>
      </w:r>
    </w:p>
    <w:p w14:paraId="7629DD26" w14:textId="663D67FC" w:rsidR="00DA7422" w:rsidRPr="00994A73" w:rsidRDefault="0092206F">
      <w:pPr>
        <w:tabs>
          <w:tab w:val="left" w:pos="567"/>
        </w:tabs>
        <w:rPr>
          <w:rFonts w:ascii="Arial" w:hAnsi="Arial" w:cs="Arial"/>
          <w:b/>
          <w:color w:val="000000"/>
          <w:sz w:val="24"/>
        </w:rPr>
      </w:pPr>
      <w:r w:rsidRPr="00994A73">
        <w:rPr>
          <w:rFonts w:ascii="Arial" w:hAnsi="Arial" w:cs="Arial"/>
          <w:b/>
          <w:color w:val="000000"/>
          <w:sz w:val="24"/>
        </w:rPr>
        <w:t>Electronic meeting, 17</w:t>
      </w:r>
      <w:r w:rsidRPr="00994A73">
        <w:rPr>
          <w:rFonts w:ascii="Arial" w:hAnsi="Arial" w:cs="Arial"/>
          <w:b/>
          <w:color w:val="000000"/>
          <w:sz w:val="24"/>
          <w:vertAlign w:val="superscript"/>
        </w:rPr>
        <w:t>th</w:t>
      </w:r>
      <w:r w:rsidRPr="00994A73">
        <w:rPr>
          <w:rFonts w:ascii="Arial" w:hAnsi="Arial" w:cs="Arial"/>
          <w:b/>
          <w:color w:val="000000"/>
          <w:sz w:val="24"/>
        </w:rPr>
        <w:t xml:space="preserve"> – 25</w:t>
      </w:r>
      <w:r w:rsidRPr="00994A73">
        <w:rPr>
          <w:rFonts w:ascii="Arial" w:hAnsi="Arial" w:cs="Arial"/>
          <w:b/>
          <w:color w:val="000000"/>
          <w:sz w:val="24"/>
          <w:vertAlign w:val="superscript"/>
        </w:rPr>
        <w:t>th</w:t>
      </w:r>
      <w:r w:rsidRPr="00994A73">
        <w:rPr>
          <w:rFonts w:ascii="Arial" w:hAnsi="Arial" w:cs="Arial"/>
          <w:b/>
          <w:color w:val="000000"/>
          <w:sz w:val="24"/>
        </w:rPr>
        <w:t xml:space="preserve"> January 2022</w:t>
      </w:r>
    </w:p>
    <w:p w14:paraId="3F15F65D" w14:textId="77777777" w:rsidR="00DA7422" w:rsidRPr="00994A73" w:rsidRDefault="00DA7422">
      <w:pPr>
        <w:tabs>
          <w:tab w:val="left" w:pos="567"/>
        </w:tabs>
        <w:rPr>
          <w:rFonts w:ascii="Arial" w:hAnsi="Arial" w:cs="Arial"/>
          <w:b/>
          <w:color w:val="000000"/>
          <w:sz w:val="24"/>
        </w:rPr>
      </w:pPr>
    </w:p>
    <w:p w14:paraId="4899157E" w14:textId="77777777" w:rsidR="00DA7422" w:rsidRPr="00994A73" w:rsidRDefault="00FE22B4">
      <w:pPr>
        <w:tabs>
          <w:tab w:val="left" w:pos="567"/>
        </w:tabs>
        <w:spacing w:after="60"/>
        <w:rPr>
          <w:rFonts w:ascii="Arial" w:hAnsi="Arial" w:cs="Arial"/>
          <w:b/>
        </w:rPr>
      </w:pPr>
      <w:r w:rsidRPr="00994A73">
        <w:rPr>
          <w:rFonts w:ascii="Arial" w:hAnsi="Arial" w:cs="Arial"/>
          <w:b/>
        </w:rPr>
        <w:t>Agenda Item:</w:t>
      </w:r>
      <w:r w:rsidRPr="00994A73">
        <w:rPr>
          <w:rFonts w:ascii="Arial" w:hAnsi="Arial" w:cs="Arial"/>
        </w:rPr>
        <w:tab/>
      </w:r>
      <w:bookmarkStart w:id="0" w:name="Source"/>
      <w:bookmarkEnd w:id="0"/>
      <w:r w:rsidRPr="00994A73">
        <w:rPr>
          <w:rFonts w:ascii="Arial" w:hAnsi="Arial" w:cs="Arial"/>
          <w:b/>
        </w:rPr>
        <w:tab/>
        <w:t>8.13.3.2</w:t>
      </w:r>
    </w:p>
    <w:p w14:paraId="33DA5618" w14:textId="77777777" w:rsidR="00DA7422" w:rsidRPr="00994A73" w:rsidRDefault="00FE22B4">
      <w:pPr>
        <w:tabs>
          <w:tab w:val="left" w:pos="567"/>
        </w:tabs>
        <w:spacing w:after="60"/>
        <w:rPr>
          <w:rFonts w:ascii="Arial" w:hAnsi="Arial" w:cs="Arial"/>
        </w:rPr>
      </w:pPr>
      <w:r w:rsidRPr="00994A73">
        <w:rPr>
          <w:rFonts w:ascii="Arial" w:hAnsi="Arial" w:cs="Arial"/>
          <w:b/>
        </w:rPr>
        <w:t>Source:</w:t>
      </w:r>
      <w:r w:rsidRPr="00994A73">
        <w:rPr>
          <w:rFonts w:ascii="Arial" w:hAnsi="Arial" w:cs="Arial"/>
          <w:b/>
        </w:rPr>
        <w:tab/>
      </w:r>
      <w:r w:rsidRPr="00994A73">
        <w:rPr>
          <w:rFonts w:ascii="Arial" w:hAnsi="Arial" w:cs="Arial"/>
          <w:b/>
        </w:rPr>
        <w:tab/>
      </w:r>
      <w:r w:rsidRPr="00994A73">
        <w:rPr>
          <w:rFonts w:ascii="Arial" w:hAnsi="Arial" w:cs="Arial"/>
          <w:b/>
        </w:rPr>
        <w:tab/>
        <w:t>Huawei, HiSilicon</w:t>
      </w:r>
    </w:p>
    <w:p w14:paraId="5A25AFF5" w14:textId="77777777" w:rsidR="00DA7422" w:rsidRPr="00994A73" w:rsidRDefault="00FE22B4">
      <w:pPr>
        <w:tabs>
          <w:tab w:val="left" w:pos="567"/>
        </w:tabs>
        <w:spacing w:after="60"/>
        <w:rPr>
          <w:rFonts w:ascii="Arial" w:hAnsi="Arial" w:cs="Arial"/>
        </w:rPr>
      </w:pPr>
      <w:r w:rsidRPr="00994A73">
        <w:rPr>
          <w:rFonts w:ascii="Arial" w:hAnsi="Arial" w:cs="Arial"/>
          <w:b/>
        </w:rPr>
        <w:t>Title:</w:t>
      </w:r>
      <w:r w:rsidRPr="00994A73">
        <w:rPr>
          <w:rFonts w:ascii="Arial" w:hAnsi="Arial" w:cs="Arial"/>
        </w:rPr>
        <w:tab/>
      </w:r>
      <w:r w:rsidRPr="00994A73">
        <w:rPr>
          <w:rFonts w:ascii="Arial" w:hAnsi="Arial" w:cs="Arial"/>
        </w:rPr>
        <w:tab/>
      </w:r>
      <w:r w:rsidRPr="00994A73">
        <w:rPr>
          <w:rFonts w:ascii="Arial" w:hAnsi="Arial" w:cs="Arial"/>
        </w:rPr>
        <w:tab/>
      </w:r>
      <w:r w:rsidRPr="00994A73">
        <w:rPr>
          <w:rFonts w:ascii="Arial" w:hAnsi="Arial" w:cs="Arial"/>
        </w:rPr>
        <w:tab/>
      </w:r>
      <w:r w:rsidRPr="00994A73">
        <w:rPr>
          <w:rFonts w:ascii="Arial" w:hAnsi="Arial" w:cs="Arial"/>
          <w:b/>
        </w:rPr>
        <w:t>Discussion on logged MDT enhancements</w:t>
      </w:r>
    </w:p>
    <w:p w14:paraId="04437108" w14:textId="77777777" w:rsidR="00DA7422" w:rsidRPr="00994A73" w:rsidRDefault="00FE22B4">
      <w:pPr>
        <w:tabs>
          <w:tab w:val="left" w:pos="567"/>
        </w:tabs>
        <w:spacing w:after="60"/>
        <w:rPr>
          <w:rFonts w:ascii="Arial" w:hAnsi="Arial" w:cs="Arial"/>
          <w:b/>
        </w:rPr>
      </w:pPr>
      <w:bookmarkStart w:id="1" w:name="_GoBack"/>
      <w:bookmarkEnd w:id="1"/>
      <w:r w:rsidRPr="00994A73">
        <w:rPr>
          <w:rFonts w:ascii="Arial" w:hAnsi="Arial" w:cs="Arial"/>
          <w:b/>
        </w:rPr>
        <w:t>Document for:</w:t>
      </w:r>
      <w:r w:rsidRPr="00994A73">
        <w:rPr>
          <w:rFonts w:ascii="Arial" w:hAnsi="Arial" w:cs="Arial"/>
          <w:b/>
        </w:rPr>
        <w:tab/>
      </w:r>
      <w:r w:rsidRPr="00994A73">
        <w:rPr>
          <w:rFonts w:ascii="Arial" w:hAnsi="Arial" w:cs="Arial"/>
          <w:b/>
        </w:rPr>
        <w:tab/>
        <w:t>Discussion and Decision</w:t>
      </w:r>
    </w:p>
    <w:p w14:paraId="2A53E4D9" w14:textId="77777777" w:rsidR="00DA7422" w:rsidRPr="00994A73" w:rsidRDefault="00DA7422">
      <w:pPr>
        <w:pBdr>
          <w:bottom w:val="single" w:sz="12" w:space="1" w:color="auto"/>
        </w:pBdr>
        <w:tabs>
          <w:tab w:val="left" w:pos="567"/>
        </w:tabs>
        <w:rPr>
          <w:rFonts w:ascii="Arial" w:hAnsi="Arial" w:cs="Arial"/>
        </w:rPr>
      </w:pPr>
    </w:p>
    <w:p w14:paraId="6F7F215C" w14:textId="77777777" w:rsidR="00DA7422" w:rsidRPr="00994A73" w:rsidRDefault="00FE22B4">
      <w:pPr>
        <w:pStyle w:val="af0"/>
        <w:jc w:val="left"/>
        <w:rPr>
          <w:rFonts w:ascii="Arial" w:eastAsia="Times New Roman" w:hAnsi="Arial" w:cs="Arial"/>
          <w:b w:val="0"/>
          <w:bCs w:val="0"/>
          <w:sz w:val="28"/>
          <w:szCs w:val="20"/>
        </w:rPr>
      </w:pPr>
      <w:r w:rsidRPr="00994A73">
        <w:rPr>
          <w:rFonts w:ascii="Arial" w:eastAsia="Times New Roman" w:hAnsi="Arial" w:cs="Arial"/>
          <w:b w:val="0"/>
          <w:bCs w:val="0"/>
          <w:sz w:val="28"/>
          <w:szCs w:val="20"/>
        </w:rPr>
        <w:t>1</w:t>
      </w:r>
      <w:r w:rsidRPr="00994A73">
        <w:rPr>
          <w:rFonts w:ascii="Arial" w:eastAsia="Times New Roman" w:hAnsi="Arial" w:cs="Arial"/>
          <w:b w:val="0"/>
          <w:bCs w:val="0"/>
          <w:sz w:val="28"/>
          <w:szCs w:val="20"/>
        </w:rPr>
        <w:tab/>
        <w:t>Introduction</w:t>
      </w:r>
    </w:p>
    <w:p w14:paraId="7B2FC007" w14:textId="7C62A4B0" w:rsidR="00DA7422" w:rsidRPr="00994A73" w:rsidRDefault="00FE22B4">
      <w:pPr>
        <w:rPr>
          <w:rFonts w:ascii="Arial" w:hAnsi="Arial" w:cs="Arial"/>
          <w:color w:val="000000"/>
        </w:rPr>
      </w:pPr>
      <w:r w:rsidRPr="00994A73">
        <w:rPr>
          <w:rFonts w:ascii="Arial" w:hAnsi="Arial" w:cs="Arial"/>
          <w:color w:val="000000"/>
        </w:rPr>
        <w:t>I</w:t>
      </w:r>
      <w:r w:rsidR="00CD6164">
        <w:rPr>
          <w:rFonts w:ascii="Arial" w:hAnsi="Arial" w:cs="Arial"/>
          <w:color w:val="000000"/>
        </w:rPr>
        <w:t xml:space="preserve">n the RAN2 113b-e meeting, RAN2 made </w:t>
      </w:r>
      <w:r w:rsidRPr="00994A73">
        <w:rPr>
          <w:rFonts w:ascii="Arial" w:hAnsi="Arial" w:cs="Arial"/>
          <w:color w:val="000000"/>
        </w:rPr>
        <w:t>the following agreements:</w:t>
      </w:r>
    </w:p>
    <w:p w14:paraId="71E6C540" w14:textId="77777777" w:rsidR="00DA7422" w:rsidRPr="00EA0700" w:rsidRDefault="00FE22B4">
      <w:pPr>
        <w:pStyle w:val="EmailDiscussion2"/>
        <w:pBdr>
          <w:top w:val="single" w:sz="4" w:space="1" w:color="auto"/>
          <w:left w:val="single" w:sz="4" w:space="4" w:color="auto"/>
          <w:bottom w:val="single" w:sz="4" w:space="1" w:color="auto"/>
          <w:right w:val="single" w:sz="4" w:space="4" w:color="auto"/>
        </w:pBdr>
        <w:rPr>
          <w:rFonts w:ascii="Arial" w:hAnsi="Arial" w:cs="Arial"/>
          <w:sz w:val="21"/>
        </w:rPr>
      </w:pPr>
      <w:r w:rsidRPr="00EA0700">
        <w:rPr>
          <w:rFonts w:ascii="Arial" w:hAnsi="Arial" w:cs="Arial"/>
          <w:sz w:val="21"/>
        </w:rPr>
        <w:t>Agreements:</w:t>
      </w:r>
    </w:p>
    <w:p w14:paraId="3D2A1A11" w14:textId="77777777" w:rsidR="00DA7422" w:rsidRPr="00EA0700" w:rsidRDefault="00FE22B4">
      <w:pPr>
        <w:pStyle w:val="EmailDiscussion2"/>
        <w:pBdr>
          <w:top w:val="single" w:sz="4" w:space="1" w:color="auto"/>
          <w:left w:val="single" w:sz="4" w:space="4" w:color="auto"/>
          <w:bottom w:val="single" w:sz="4" w:space="1" w:color="auto"/>
          <w:right w:val="single" w:sz="4" w:space="4" w:color="auto"/>
        </w:pBdr>
        <w:rPr>
          <w:rFonts w:ascii="Arial" w:hAnsi="Arial" w:cs="Arial"/>
          <w:sz w:val="21"/>
        </w:rPr>
      </w:pPr>
      <w:r w:rsidRPr="00EA0700">
        <w:rPr>
          <w:rFonts w:ascii="Arial" w:hAnsi="Arial" w:cs="Arial"/>
          <w:sz w:val="21"/>
        </w:rPr>
        <w:t>1</w:t>
      </w:r>
      <w:r w:rsidRPr="00EA0700">
        <w:rPr>
          <w:rFonts w:ascii="Arial" w:hAnsi="Arial" w:cs="Arial"/>
          <w:sz w:val="21"/>
        </w:rPr>
        <w:tab/>
        <w:t>UE reports the SIBs that UE actually intends to request.</w:t>
      </w:r>
    </w:p>
    <w:p w14:paraId="1336D4B9" w14:textId="77777777" w:rsidR="00DA7422" w:rsidRPr="00EA0700" w:rsidRDefault="00FE22B4">
      <w:pPr>
        <w:pStyle w:val="EmailDiscussion2"/>
        <w:pBdr>
          <w:top w:val="single" w:sz="4" w:space="1" w:color="auto"/>
          <w:left w:val="single" w:sz="4" w:space="4" w:color="auto"/>
          <w:bottom w:val="single" w:sz="4" w:space="1" w:color="auto"/>
          <w:right w:val="single" w:sz="4" w:space="4" w:color="auto"/>
        </w:pBdr>
        <w:rPr>
          <w:rFonts w:ascii="Arial" w:hAnsi="Arial" w:cs="Arial"/>
          <w:sz w:val="21"/>
        </w:rPr>
      </w:pPr>
      <w:r w:rsidRPr="00EA0700">
        <w:rPr>
          <w:rFonts w:ascii="Arial" w:hAnsi="Arial" w:cs="Arial"/>
          <w:sz w:val="21"/>
        </w:rPr>
        <w:t>2</w:t>
      </w:r>
      <w:r w:rsidRPr="00EA0700">
        <w:rPr>
          <w:rFonts w:ascii="Arial" w:hAnsi="Arial" w:cs="Arial"/>
          <w:sz w:val="21"/>
        </w:rPr>
        <w:tab/>
        <w:t>Both Msg1-based and Msg3-based SI request related information are supported.</w:t>
      </w:r>
    </w:p>
    <w:p w14:paraId="398B68D1" w14:textId="77777777" w:rsidR="00DA7422" w:rsidRPr="00EA0700" w:rsidRDefault="00FE22B4">
      <w:pPr>
        <w:pStyle w:val="EmailDiscussion2"/>
        <w:pBdr>
          <w:top w:val="single" w:sz="4" w:space="1" w:color="auto"/>
          <w:left w:val="single" w:sz="4" w:space="4" w:color="auto"/>
          <w:bottom w:val="single" w:sz="4" w:space="1" w:color="auto"/>
          <w:right w:val="single" w:sz="4" w:space="4" w:color="auto"/>
        </w:pBdr>
        <w:rPr>
          <w:rFonts w:ascii="Arial" w:hAnsi="Arial" w:cs="Arial"/>
          <w:sz w:val="21"/>
        </w:rPr>
      </w:pPr>
      <w:r w:rsidRPr="00EA0700">
        <w:rPr>
          <w:rFonts w:ascii="Arial" w:hAnsi="Arial" w:cs="Arial"/>
          <w:sz w:val="21"/>
        </w:rPr>
        <w:t>3</w:t>
      </w:r>
      <w:r w:rsidRPr="00EA0700">
        <w:rPr>
          <w:rFonts w:ascii="Arial" w:hAnsi="Arial" w:cs="Arial"/>
          <w:sz w:val="21"/>
        </w:rPr>
        <w:tab/>
        <w:t>Option 3 (R2-2104434) is used for logged MDT in EN-DC, i.e., do not introduce SN configuration for logged MDT (neither for camping nor for non-camping/ EMR specific frequencies).</w:t>
      </w:r>
    </w:p>
    <w:p w14:paraId="3440E8D4" w14:textId="77777777" w:rsidR="00DA7422" w:rsidRPr="00EA0700" w:rsidRDefault="00FE22B4">
      <w:pPr>
        <w:pStyle w:val="EmailDiscussion2"/>
        <w:pBdr>
          <w:top w:val="single" w:sz="4" w:space="1" w:color="auto"/>
          <w:left w:val="single" w:sz="4" w:space="4" w:color="auto"/>
          <w:bottom w:val="single" w:sz="4" w:space="1" w:color="auto"/>
          <w:right w:val="single" w:sz="4" w:space="4" w:color="auto"/>
        </w:pBdr>
        <w:rPr>
          <w:rFonts w:ascii="Arial" w:hAnsi="Arial" w:cs="Arial"/>
          <w:sz w:val="21"/>
          <w:highlight w:val="yellow"/>
        </w:rPr>
      </w:pPr>
      <w:r w:rsidRPr="00EA0700">
        <w:rPr>
          <w:rFonts w:ascii="Arial" w:hAnsi="Arial" w:cs="Arial"/>
          <w:sz w:val="21"/>
          <w:highlight w:val="yellow"/>
        </w:rPr>
        <w:t>4</w:t>
      </w:r>
      <w:r w:rsidRPr="00EA0700">
        <w:rPr>
          <w:rFonts w:ascii="Arial" w:hAnsi="Arial" w:cs="Arial"/>
          <w:sz w:val="21"/>
          <w:highlight w:val="yellow"/>
        </w:rPr>
        <w:tab/>
        <w:t>UE provides assistance by which network can avoid overwriting of an MDT configuration.</w:t>
      </w:r>
    </w:p>
    <w:p w14:paraId="3930CAC2" w14:textId="77777777" w:rsidR="00DA7422" w:rsidRPr="00994A73" w:rsidRDefault="00FE22B4">
      <w:pPr>
        <w:pStyle w:val="EmailDiscussion2"/>
        <w:pBdr>
          <w:top w:val="single" w:sz="4" w:space="1" w:color="auto"/>
          <w:left w:val="single" w:sz="4" w:space="4" w:color="auto"/>
          <w:bottom w:val="single" w:sz="4" w:space="1" w:color="auto"/>
          <w:right w:val="single" w:sz="4" w:space="4" w:color="auto"/>
        </w:pBdr>
        <w:rPr>
          <w:rFonts w:ascii="Arial" w:hAnsi="Arial" w:cs="Arial"/>
        </w:rPr>
      </w:pPr>
      <w:r w:rsidRPr="00EA0700">
        <w:rPr>
          <w:rFonts w:ascii="Arial" w:hAnsi="Arial" w:cs="Arial"/>
          <w:sz w:val="21"/>
          <w:highlight w:val="yellow"/>
        </w:rPr>
        <w:t>5</w:t>
      </w:r>
      <w:r w:rsidRPr="00EA0700">
        <w:rPr>
          <w:rFonts w:ascii="Arial" w:hAnsi="Arial" w:cs="Arial"/>
          <w:sz w:val="21"/>
          <w:highlight w:val="yellow"/>
        </w:rPr>
        <w:tab/>
        <w:t>Introduce the logged MDT type (i.e. the management based MDT or the signalling based MDT) in the logged MDT configuration.</w:t>
      </w:r>
    </w:p>
    <w:p w14:paraId="3A9CD2A9" w14:textId="77777777" w:rsidR="00EA0700" w:rsidRDefault="00EA0700">
      <w:pPr>
        <w:rPr>
          <w:rFonts w:ascii="Arial" w:hAnsi="Arial" w:cs="Arial"/>
          <w:color w:val="000000"/>
        </w:rPr>
      </w:pPr>
    </w:p>
    <w:p w14:paraId="1FDF41BB" w14:textId="13853E82" w:rsidR="00DA7422" w:rsidRPr="00994A73" w:rsidRDefault="00FE22B4">
      <w:pPr>
        <w:rPr>
          <w:rFonts w:ascii="Arial" w:hAnsi="Arial" w:cs="Arial"/>
          <w:color w:val="000000"/>
        </w:rPr>
      </w:pPr>
      <w:r w:rsidRPr="00994A73">
        <w:rPr>
          <w:rFonts w:ascii="Arial" w:hAnsi="Arial" w:cs="Arial"/>
          <w:color w:val="000000"/>
        </w:rPr>
        <w:t xml:space="preserve">And in the RAN2 114-e meeting, </w:t>
      </w:r>
      <w:r w:rsidR="00D64437">
        <w:rPr>
          <w:rFonts w:ascii="Arial" w:hAnsi="Arial" w:cs="Arial"/>
          <w:color w:val="000000"/>
        </w:rPr>
        <w:t xml:space="preserve">RAN2 </w:t>
      </w:r>
      <w:r w:rsidRPr="00994A73">
        <w:rPr>
          <w:rFonts w:ascii="Arial" w:hAnsi="Arial" w:cs="Arial"/>
          <w:color w:val="000000"/>
        </w:rPr>
        <w:t xml:space="preserve">further </w:t>
      </w:r>
      <w:r w:rsidR="00D64437">
        <w:rPr>
          <w:rFonts w:ascii="Arial" w:hAnsi="Arial" w:cs="Arial"/>
          <w:color w:val="000000"/>
        </w:rPr>
        <w:t>made</w:t>
      </w:r>
      <w:r w:rsidRPr="00994A73">
        <w:rPr>
          <w:rFonts w:ascii="Arial" w:hAnsi="Arial" w:cs="Arial"/>
          <w:color w:val="000000"/>
        </w:rPr>
        <w:t xml:space="preserve"> the following agreements:</w:t>
      </w:r>
    </w:p>
    <w:p w14:paraId="52E960D3"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Agreements:</w:t>
      </w:r>
    </w:p>
    <w:p w14:paraId="5E3459D7"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1</w:t>
      </w:r>
      <w:r w:rsidRPr="00994A73">
        <w:rPr>
          <w:rFonts w:cs="Arial"/>
        </w:rPr>
        <w:tab/>
        <w:t>In order to avoid overwriting of signalling-based logged MDT, UE-assisted and network-based solution, which relying on network implementation through UE providing assistance, is introduced.</w:t>
      </w:r>
    </w:p>
    <w:p w14:paraId="3D942564" w14:textId="77777777" w:rsidR="000241BD" w:rsidRDefault="000241BD">
      <w:pPr>
        <w:rPr>
          <w:rFonts w:ascii="Arial" w:hAnsi="Arial" w:cs="Arial"/>
          <w:color w:val="000000" w:themeColor="text1"/>
        </w:rPr>
      </w:pPr>
    </w:p>
    <w:p w14:paraId="1967691F" w14:textId="63D4ADD5" w:rsidR="00DA7422" w:rsidRPr="00994A73" w:rsidRDefault="00FE22B4">
      <w:pPr>
        <w:rPr>
          <w:rFonts w:ascii="Arial" w:hAnsi="Arial" w:cs="Arial"/>
          <w:color w:val="000000" w:themeColor="text1"/>
        </w:rPr>
      </w:pPr>
      <w:r w:rsidRPr="00994A73">
        <w:rPr>
          <w:rFonts w:ascii="Arial" w:hAnsi="Arial" w:cs="Arial"/>
          <w:color w:val="000000" w:themeColor="text1"/>
        </w:rPr>
        <w:t xml:space="preserve">Then in the RAN2 115-e meeting, the following agreements </w:t>
      </w:r>
      <w:r w:rsidR="003E36BB">
        <w:rPr>
          <w:rFonts w:ascii="Arial" w:hAnsi="Arial" w:cs="Arial"/>
          <w:color w:val="000000" w:themeColor="text1"/>
        </w:rPr>
        <w:t>were</w:t>
      </w:r>
      <w:r w:rsidRPr="00994A73">
        <w:rPr>
          <w:rFonts w:ascii="Arial" w:hAnsi="Arial" w:cs="Arial"/>
          <w:color w:val="000000" w:themeColor="text1"/>
        </w:rPr>
        <w:t xml:space="preserve"> made:</w:t>
      </w:r>
    </w:p>
    <w:p w14:paraId="2F387FD6"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3</w:t>
      </w:r>
      <w:r w:rsidRPr="00994A73">
        <w:rPr>
          <w:rFonts w:cs="Arial"/>
        </w:rPr>
        <w:tab/>
        <w:t>Signaling based logged MDT override protection is applicable in the following scenarios:</w:t>
      </w:r>
    </w:p>
    <w:p w14:paraId="258D09B6"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1)</w:t>
      </w:r>
      <w:r w:rsidRPr="00994A73">
        <w:rPr>
          <w:rFonts w:cs="Arial"/>
        </w:rPr>
        <w:tab/>
        <w:t>Signaling based Logged MDT is configured, but no results are available e.g. so far nothing stored, or all previously stored results retrieved</w:t>
      </w:r>
    </w:p>
    <w:p w14:paraId="2EBA6435"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2)</w:t>
      </w:r>
      <w:r w:rsidRPr="00994A73">
        <w:rPr>
          <w:rFonts w:cs="Arial"/>
        </w:rPr>
        <w:tab/>
        <w:t>Signaling based Logged MDT configuration is stopped (i.e. the expiry of T330), but UE still has un-retrieved results that would be discarded upon accepting a new configuration</w:t>
      </w:r>
    </w:p>
    <w:p w14:paraId="3FA31DF8"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4</w:t>
      </w:r>
      <w:r w:rsidRPr="00994A73">
        <w:rPr>
          <w:rFonts w:cs="Arial"/>
        </w:rPr>
        <w:tab/>
        <w:t>Include an indicator to indicate the signaling based logged MDT configuration availability in RRCSetupComplete / RRCConnectionSetupComplete and RRCResumeComplete / RRCConnectionResumeComplete.</w:t>
      </w:r>
    </w:p>
    <w:p w14:paraId="6FC18F54"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ab/>
        <w:t>FFS: Implicit (flag indicating T330 is running or not) vs explicit indication</w:t>
      </w:r>
    </w:p>
    <w:p w14:paraId="6FA47A5B" w14:textId="77777777" w:rsidR="00DA7422" w:rsidRPr="00994A73" w:rsidRDefault="00DA7422">
      <w:pPr>
        <w:pStyle w:val="Doc-text2"/>
        <w:pBdr>
          <w:top w:val="single" w:sz="4" w:space="1" w:color="auto"/>
          <w:left w:val="single" w:sz="4" w:space="4" w:color="auto"/>
          <w:bottom w:val="single" w:sz="4" w:space="1" w:color="auto"/>
          <w:right w:val="single" w:sz="4" w:space="4" w:color="auto"/>
        </w:pBdr>
        <w:rPr>
          <w:rFonts w:cs="Arial"/>
        </w:rPr>
      </w:pPr>
    </w:p>
    <w:p w14:paraId="13F6E42E" w14:textId="77777777" w:rsidR="00DA7422" w:rsidRPr="00994A73" w:rsidRDefault="00FE22B4">
      <w:pPr>
        <w:pStyle w:val="Doc-text2"/>
        <w:pBdr>
          <w:top w:val="single" w:sz="4" w:space="1" w:color="auto"/>
          <w:left w:val="single" w:sz="4" w:space="4" w:color="auto"/>
          <w:bottom w:val="single" w:sz="4" w:space="1" w:color="auto"/>
          <w:right w:val="single" w:sz="4" w:space="4" w:color="auto"/>
        </w:pBdr>
        <w:rPr>
          <w:rFonts w:cs="Arial"/>
        </w:rPr>
      </w:pPr>
      <w:r w:rsidRPr="00994A73">
        <w:rPr>
          <w:rFonts w:cs="Arial"/>
        </w:rPr>
        <w:t>5</w:t>
      </w:r>
      <w:r w:rsidRPr="00994A73">
        <w:rPr>
          <w:rFonts w:cs="Arial"/>
        </w:rPr>
        <w:tab/>
        <w:t>UE includes an indication regarding whether the T330 timer is running or not in RRCSetupComplete / RRCConnectionSetupComplete and RRCResumeComplete / RRCConnectionResumeComplete.</w:t>
      </w:r>
    </w:p>
    <w:p w14:paraId="019C7A94" w14:textId="77777777" w:rsidR="00DA7422" w:rsidRPr="00994A73" w:rsidRDefault="00DA7422">
      <w:pPr>
        <w:rPr>
          <w:rFonts w:ascii="Arial" w:hAnsi="Arial" w:cs="Arial"/>
          <w:color w:val="000000" w:themeColor="text1"/>
        </w:rPr>
      </w:pPr>
    </w:p>
    <w:p w14:paraId="6B172647" w14:textId="77777777" w:rsidR="00DA7422" w:rsidRPr="00994A73" w:rsidRDefault="00FE22B4">
      <w:pPr>
        <w:rPr>
          <w:rFonts w:ascii="Arial" w:hAnsi="Arial" w:cs="Arial"/>
          <w:color w:val="000000" w:themeColor="text1"/>
        </w:rPr>
      </w:pPr>
      <w:r w:rsidRPr="00994A73">
        <w:rPr>
          <w:rFonts w:ascii="Arial" w:hAnsi="Arial" w:cs="Arial"/>
          <w:color w:val="000000" w:themeColor="text1"/>
        </w:rPr>
        <w:t>Currently, there is still one remaining issues, i.e. whether to implicit or explicit that T330 is still running.</w:t>
      </w:r>
    </w:p>
    <w:p w14:paraId="72245991" w14:textId="77777777" w:rsidR="00DA7422" w:rsidRPr="00994A73" w:rsidRDefault="00FE22B4">
      <w:pPr>
        <w:rPr>
          <w:rFonts w:ascii="Arial" w:hAnsi="Arial" w:cs="Arial"/>
          <w:color w:val="000000" w:themeColor="text1"/>
        </w:rPr>
      </w:pPr>
      <w:r w:rsidRPr="00994A73">
        <w:rPr>
          <w:rFonts w:ascii="Arial" w:hAnsi="Arial" w:cs="Arial"/>
          <w:color w:val="000000" w:themeColor="text1"/>
        </w:rPr>
        <w:t>In this contribution, we give our further considerations for the above issue.</w:t>
      </w:r>
    </w:p>
    <w:p w14:paraId="778D0B14" w14:textId="77777777" w:rsidR="00DA7422" w:rsidRPr="00994A73" w:rsidRDefault="00FE22B4">
      <w:pPr>
        <w:pStyle w:val="af0"/>
        <w:jc w:val="left"/>
        <w:rPr>
          <w:rFonts w:ascii="Arial" w:eastAsia="Times New Roman" w:hAnsi="Arial" w:cs="Arial"/>
          <w:b w:val="0"/>
          <w:bCs w:val="0"/>
          <w:sz w:val="28"/>
          <w:szCs w:val="20"/>
        </w:rPr>
      </w:pPr>
      <w:r w:rsidRPr="00994A73">
        <w:rPr>
          <w:rFonts w:ascii="Arial" w:eastAsia="Times New Roman" w:hAnsi="Arial" w:cs="Arial"/>
          <w:b w:val="0"/>
          <w:bCs w:val="0"/>
          <w:sz w:val="28"/>
          <w:szCs w:val="20"/>
        </w:rPr>
        <w:t>2</w:t>
      </w:r>
      <w:r w:rsidRPr="00994A73">
        <w:rPr>
          <w:rFonts w:ascii="Arial" w:eastAsia="Times New Roman" w:hAnsi="Arial" w:cs="Arial"/>
          <w:b w:val="0"/>
          <w:bCs w:val="0"/>
          <w:sz w:val="28"/>
          <w:szCs w:val="20"/>
        </w:rPr>
        <w:tab/>
        <w:t>Discussion</w:t>
      </w:r>
    </w:p>
    <w:p w14:paraId="78EF04C2" w14:textId="77777777" w:rsidR="00DA7422" w:rsidRPr="00994A73" w:rsidRDefault="00FE22B4">
      <w:pPr>
        <w:rPr>
          <w:rFonts w:ascii="Arial" w:hAnsi="Arial" w:cs="Arial"/>
        </w:rPr>
      </w:pPr>
      <w:r w:rsidRPr="00994A73">
        <w:rPr>
          <w:rFonts w:ascii="Arial" w:hAnsi="Arial" w:cs="Arial"/>
        </w:rPr>
        <w:t xml:space="preserve">Firstly, in RAN2 115-e meeting, RAN2 reached the following agreement regarding T330 indication: </w:t>
      </w:r>
    </w:p>
    <w:p w14:paraId="0496887B" w14:textId="77777777" w:rsidR="00DA7422" w:rsidRPr="00994A73" w:rsidRDefault="00FE22B4">
      <w:pPr>
        <w:pStyle w:val="af"/>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rPr>
      </w:pPr>
      <w:r w:rsidRPr="00994A73">
        <w:rPr>
          <w:rFonts w:ascii="Arial" w:eastAsia="Times New Roman" w:hAnsi="Arial" w:cs="Arial"/>
          <w:kern w:val="0"/>
          <w:sz w:val="20"/>
          <w:szCs w:val="20"/>
          <w:lang w:bidi="ar"/>
        </w:rPr>
        <w:t>5</w:t>
      </w:r>
      <w:r w:rsidRPr="00994A73">
        <w:rPr>
          <w:rFonts w:ascii="Arial" w:eastAsia="Times New Roman" w:hAnsi="Arial" w:cs="Arial"/>
          <w:kern w:val="0"/>
          <w:sz w:val="20"/>
          <w:szCs w:val="20"/>
          <w:lang w:bidi="ar"/>
        </w:rPr>
        <w:tab/>
        <w:t>UE includes an indication regarding whether the T330 timer is running or not in RRCSetupComplete / RRCConnectionSetupComplete and RRCResumeComplete / RRCConnectionResumeComplete.</w:t>
      </w:r>
    </w:p>
    <w:p w14:paraId="1DFE8FDB" w14:textId="77777777" w:rsidR="00DA7422" w:rsidRPr="00994A73" w:rsidRDefault="00DA7422">
      <w:pPr>
        <w:rPr>
          <w:rFonts w:ascii="Arial" w:hAnsi="Arial" w:cs="Arial"/>
        </w:rPr>
      </w:pPr>
    </w:p>
    <w:p w14:paraId="49E18EBD" w14:textId="77777777" w:rsidR="00DA7422" w:rsidRPr="00994A73" w:rsidRDefault="00FE22B4">
      <w:pPr>
        <w:rPr>
          <w:rFonts w:ascii="Arial" w:hAnsi="Arial" w:cs="Arial"/>
        </w:rPr>
      </w:pPr>
      <w:r w:rsidRPr="00994A73">
        <w:rPr>
          <w:rFonts w:ascii="Arial" w:hAnsi="Arial" w:cs="Arial"/>
        </w:rPr>
        <w:t>Secondly, if the UE implicitly indicates T330 status, i.e. indicating that there is already an signalling based MDT configured and the T330 running indicator is not included in the RRC complete messages, the gNB will not be aware of the status of the T330 timer. That is because in this scenario, the UE may be either one of the two situations:</w:t>
      </w:r>
    </w:p>
    <w:p w14:paraId="6D2DBBC1" w14:textId="77777777" w:rsidR="00DA7422" w:rsidRPr="0030110C" w:rsidRDefault="00FE22B4">
      <w:pPr>
        <w:pStyle w:val="af9"/>
        <w:numPr>
          <w:ilvl w:val="0"/>
          <w:numId w:val="3"/>
        </w:numPr>
        <w:rPr>
          <w:rFonts w:ascii="Arial" w:eastAsiaTheme="minorEastAsia" w:hAnsi="Arial" w:cs="Arial"/>
          <w:sz w:val="21"/>
        </w:rPr>
      </w:pPr>
      <w:r w:rsidRPr="0030110C">
        <w:rPr>
          <w:rFonts w:ascii="Arial" w:eastAsiaTheme="minorEastAsia" w:hAnsi="Arial" w:cs="Arial"/>
          <w:sz w:val="21"/>
        </w:rPr>
        <w:t>Status 1: Signalling based Logged MDT is configured, but no results are available e.g. so far nothing stored, or all previously stored results retrieved</w:t>
      </w:r>
    </w:p>
    <w:p w14:paraId="0E88C5D1" w14:textId="77777777" w:rsidR="00DA7422" w:rsidRPr="00994A73" w:rsidRDefault="00FE22B4">
      <w:pPr>
        <w:pStyle w:val="af9"/>
        <w:numPr>
          <w:ilvl w:val="0"/>
          <w:numId w:val="3"/>
        </w:numPr>
        <w:rPr>
          <w:rFonts w:ascii="Arial" w:eastAsiaTheme="minorEastAsia" w:hAnsi="Arial" w:cs="Arial"/>
        </w:rPr>
      </w:pPr>
      <w:r w:rsidRPr="0030110C">
        <w:rPr>
          <w:rFonts w:ascii="Arial" w:eastAsiaTheme="minorEastAsia" w:hAnsi="Arial" w:cs="Arial"/>
          <w:sz w:val="21"/>
        </w:rPr>
        <w:t>Status 2: Signalling based Logged MDT configuration is stopped (i.e. the expiry of T330), but UE still has un-retrieved results that would be discarded upon accepting a new configuration</w:t>
      </w:r>
    </w:p>
    <w:p w14:paraId="1F129224" w14:textId="77777777" w:rsidR="0030110C" w:rsidRDefault="0030110C">
      <w:pPr>
        <w:rPr>
          <w:rFonts w:ascii="Arial" w:hAnsi="Arial" w:cs="Arial"/>
        </w:rPr>
      </w:pPr>
    </w:p>
    <w:p w14:paraId="30198937" w14:textId="77777777" w:rsidR="00DA7422" w:rsidRPr="00994A73" w:rsidRDefault="00FE22B4">
      <w:pPr>
        <w:rPr>
          <w:rFonts w:ascii="Arial" w:hAnsi="Arial" w:cs="Arial"/>
        </w:rPr>
      </w:pPr>
      <w:r w:rsidRPr="00994A73">
        <w:rPr>
          <w:rFonts w:ascii="Arial" w:hAnsi="Arial" w:cs="Arial"/>
        </w:rPr>
        <w:t>However with T330 timer status received, the gNB is able to decide whether to wait or retrieve measurement results. In detail, if T330 timer is still running, the gNB can wait for the expiry of the timer. If T330 timer has expired, the gNB can retrieve the measurement results from the UE and then the gNB can configure a new MDT configuration. In general, we see some benefits if the UE can report an indication of T330 running or not.</w:t>
      </w:r>
    </w:p>
    <w:p w14:paraId="5EB1D5DA" w14:textId="77777777" w:rsidR="00DA7422" w:rsidRPr="00994A73" w:rsidRDefault="00FE22B4">
      <w:pPr>
        <w:rPr>
          <w:rFonts w:ascii="Arial" w:hAnsi="Arial" w:cs="Arial"/>
          <w:b/>
        </w:rPr>
      </w:pPr>
      <w:r w:rsidRPr="00994A73">
        <w:rPr>
          <w:rFonts w:ascii="Arial" w:hAnsi="Arial" w:cs="Arial"/>
          <w:b/>
        </w:rPr>
        <w:t>Proposal 1: It is proposed to introduce an explicit indication to indicate whether T330 is running or not.</w:t>
      </w:r>
    </w:p>
    <w:p w14:paraId="6765E1FC" w14:textId="77777777" w:rsidR="00DA7422" w:rsidRPr="00994A73" w:rsidRDefault="00DA7422">
      <w:pPr>
        <w:rPr>
          <w:rFonts w:ascii="Arial" w:hAnsi="Arial" w:cs="Arial"/>
        </w:rPr>
      </w:pPr>
    </w:p>
    <w:p w14:paraId="053ADD67" w14:textId="3EB4D57B" w:rsidR="00DA7422" w:rsidRDefault="00FE22B4" w:rsidP="0030110C">
      <w:pPr>
        <w:rPr>
          <w:rFonts w:ascii="Arial" w:hAnsi="Arial" w:cs="Arial"/>
        </w:rPr>
      </w:pPr>
      <w:r w:rsidRPr="00994A73">
        <w:rPr>
          <w:rFonts w:ascii="Arial" w:hAnsi="Arial" w:cs="Arial"/>
        </w:rPr>
        <w:t>In the latest running 38.331 CR for MDT, there is a FFS for logged MDT (as below):</w:t>
      </w:r>
    </w:p>
    <w:tbl>
      <w:tblPr>
        <w:tblStyle w:val="af2"/>
        <w:tblW w:w="0" w:type="auto"/>
        <w:tblLook w:val="04A0" w:firstRow="1" w:lastRow="0" w:firstColumn="1" w:lastColumn="0" w:noHBand="0" w:noVBand="1"/>
      </w:tblPr>
      <w:tblGrid>
        <w:gridCol w:w="9628"/>
      </w:tblGrid>
      <w:tr w:rsidR="0030110C" w14:paraId="79035350" w14:textId="77777777" w:rsidTr="0030110C">
        <w:tc>
          <w:tcPr>
            <w:tcW w:w="9628" w:type="dxa"/>
          </w:tcPr>
          <w:p w14:paraId="0FA0264B" w14:textId="77777777" w:rsidR="0030110C" w:rsidRPr="00994A73" w:rsidRDefault="0030110C" w:rsidP="0030110C">
            <w:pPr>
              <w:pStyle w:val="3"/>
              <w:rPr>
                <w:rFonts w:cs="Arial"/>
                <w:lang w:val="en-US"/>
              </w:rPr>
            </w:pPr>
            <w:bookmarkStart w:id="2" w:name="_Toc83739872"/>
            <w:bookmarkStart w:id="3" w:name="_Toc60776917"/>
            <w:r w:rsidRPr="00994A73">
              <w:rPr>
                <w:rFonts w:cs="Arial"/>
                <w:lang w:val="en-US"/>
              </w:rPr>
              <w:lastRenderedPageBreak/>
              <w:t>5.5a.3</w:t>
            </w:r>
            <w:r w:rsidRPr="00994A73">
              <w:rPr>
                <w:rFonts w:cs="Arial"/>
                <w:lang w:val="en-US"/>
              </w:rPr>
              <w:tab/>
              <w:t>Measurements logging</w:t>
            </w:r>
            <w:bookmarkEnd w:id="2"/>
            <w:bookmarkEnd w:id="3"/>
          </w:p>
          <w:p w14:paraId="0DE9B309" w14:textId="77777777" w:rsidR="0030110C" w:rsidRPr="00994A73" w:rsidRDefault="0030110C" w:rsidP="0030110C">
            <w:pPr>
              <w:pStyle w:val="4"/>
              <w:ind w:left="0" w:firstLine="0"/>
              <w:rPr>
                <w:rFonts w:cs="Arial"/>
                <w:lang w:val="en-US"/>
              </w:rPr>
            </w:pPr>
            <w:bookmarkStart w:id="4" w:name="_Toc60776918"/>
            <w:bookmarkStart w:id="5" w:name="_Toc83739873"/>
            <w:r w:rsidRPr="00994A73">
              <w:rPr>
                <w:rFonts w:cs="Arial"/>
                <w:lang w:val="en-US"/>
              </w:rPr>
              <w:t>5.5a.3.1</w:t>
            </w:r>
            <w:r w:rsidRPr="00994A73">
              <w:rPr>
                <w:rFonts w:cs="Arial"/>
                <w:lang w:val="en-US"/>
              </w:rPr>
              <w:tab/>
              <w:t>General</w:t>
            </w:r>
            <w:bookmarkEnd w:id="4"/>
            <w:bookmarkEnd w:id="5"/>
          </w:p>
          <w:p w14:paraId="5986250D" w14:textId="77777777" w:rsidR="0030110C" w:rsidRPr="00994A73" w:rsidRDefault="0030110C" w:rsidP="0030110C">
            <w:pPr>
              <w:rPr>
                <w:rFonts w:ascii="Arial" w:hAnsi="Arial" w:cs="Arial"/>
              </w:rPr>
            </w:pPr>
            <w:r w:rsidRPr="00994A73">
              <w:rPr>
                <w:rFonts w:ascii="Arial" w:eastAsia="Times New Roman" w:hAnsi="Arial" w:cs="Arial"/>
                <w:kern w:val="0"/>
                <w:sz w:val="20"/>
                <w:szCs w:val="20"/>
                <w:lang w:bidi="ar"/>
              </w:rPr>
              <w:t>This procedure specifies the logging of available measurements by a UE in RRC_IDLE and RRC_INACTIVE that has a logged measurement configuration. The actual process of logging within the UE, takes place in RRC IDLE state could continue in RRC INACTIVE state</w:t>
            </w:r>
            <w:r w:rsidRPr="00994A73">
              <w:rPr>
                <w:rFonts w:ascii="Arial" w:eastAsia="宋体" w:hAnsi="Arial" w:cs="Arial"/>
                <w:kern w:val="0"/>
                <w:sz w:val="20"/>
                <w:szCs w:val="20"/>
                <w:lang w:bidi="ar"/>
              </w:rPr>
              <w:t xml:space="preserve"> or vice versa.</w:t>
            </w:r>
          </w:p>
          <w:p w14:paraId="0A485A30" w14:textId="77777777" w:rsidR="0030110C" w:rsidRPr="00994A73" w:rsidRDefault="0030110C" w:rsidP="0030110C">
            <w:pPr>
              <w:pStyle w:val="4"/>
              <w:rPr>
                <w:rFonts w:cs="Arial"/>
                <w:lang w:val="en-US"/>
              </w:rPr>
            </w:pPr>
            <w:bookmarkStart w:id="6" w:name="_Toc83739874"/>
            <w:bookmarkStart w:id="7" w:name="_Toc60776919"/>
            <w:r w:rsidRPr="00994A73">
              <w:rPr>
                <w:rFonts w:cs="Arial"/>
                <w:lang w:val="en-US"/>
              </w:rPr>
              <w:t>5.5a.3.2</w:t>
            </w:r>
            <w:r w:rsidRPr="00994A73">
              <w:rPr>
                <w:rFonts w:cs="Arial"/>
                <w:lang w:val="en-US"/>
              </w:rPr>
              <w:tab/>
              <w:t>Initiation</w:t>
            </w:r>
            <w:bookmarkEnd w:id="6"/>
            <w:bookmarkEnd w:id="7"/>
          </w:p>
          <w:p w14:paraId="14B89D96" w14:textId="77777777" w:rsidR="0030110C" w:rsidRPr="00994A73" w:rsidRDefault="0030110C" w:rsidP="0030110C">
            <w:pPr>
              <w:rPr>
                <w:rFonts w:ascii="Arial" w:hAnsi="Arial" w:cs="Arial"/>
              </w:rPr>
            </w:pPr>
            <w:r w:rsidRPr="00994A73">
              <w:rPr>
                <w:rFonts w:ascii="Arial" w:eastAsia="Times New Roman" w:hAnsi="Arial" w:cs="Arial"/>
                <w:kern w:val="0"/>
                <w:sz w:val="20"/>
                <w:szCs w:val="20"/>
                <w:lang w:bidi="ar"/>
              </w:rPr>
              <w:t>While T330 is running, the UE shall:</w:t>
            </w:r>
          </w:p>
          <w:p w14:paraId="0982352C" w14:textId="77777777" w:rsidR="0030110C" w:rsidRPr="00994A73" w:rsidRDefault="0030110C" w:rsidP="0030110C">
            <w:pPr>
              <w:rPr>
                <w:rFonts w:ascii="Arial" w:hAnsi="Arial" w:cs="Arial"/>
                <w:i/>
                <w:iCs/>
              </w:rPr>
            </w:pPr>
            <w:r w:rsidRPr="00994A73">
              <w:rPr>
                <w:rFonts w:ascii="Arial" w:hAnsi="Arial" w:cs="Arial"/>
                <w:i/>
                <w:iCs/>
              </w:rPr>
              <w:t>&lt;Partially omitted&gt;</w:t>
            </w:r>
          </w:p>
          <w:p w14:paraId="344292B7" w14:textId="633E9CDE" w:rsidR="0030110C" w:rsidRDefault="0030110C" w:rsidP="0030110C">
            <w:pPr>
              <w:rPr>
                <w:rFonts w:ascii="Arial" w:hAnsi="Arial" w:cs="Arial"/>
              </w:rPr>
            </w:pPr>
            <w:r w:rsidRPr="00994A73">
              <w:rPr>
                <w:rFonts w:ascii="Arial" w:eastAsia="等线" w:hAnsi="Arial" w:cs="Arial"/>
                <w:sz w:val="20"/>
                <w:highlight w:val="yellow"/>
              </w:rPr>
              <w:t xml:space="preserve">[FFS: how the UE performs logging behaviours regarding the indication </w:t>
            </w:r>
            <w:r w:rsidRPr="00994A73">
              <w:rPr>
                <w:rFonts w:ascii="Arial" w:eastAsia="等线" w:hAnsi="Arial" w:cs="Arial"/>
                <w:i/>
                <w:sz w:val="20"/>
                <w:highlight w:val="yellow"/>
              </w:rPr>
              <w:t>earlyMeasIndication-r17</w:t>
            </w:r>
            <w:r w:rsidRPr="00994A73">
              <w:rPr>
                <w:rFonts w:ascii="Arial" w:eastAsia="等线" w:hAnsi="Arial" w:cs="Arial"/>
                <w:sz w:val="20"/>
                <w:highlight w:val="yellow"/>
              </w:rPr>
              <w:t xml:space="preserve"> from the </w:t>
            </w:r>
            <w:r w:rsidRPr="00994A73">
              <w:rPr>
                <w:rFonts w:ascii="Arial" w:eastAsia="等线" w:hAnsi="Arial" w:cs="Arial"/>
                <w:i/>
                <w:sz w:val="20"/>
                <w:highlight w:val="yellow"/>
              </w:rPr>
              <w:t>loggedMeasurementConfiguration</w:t>
            </w:r>
            <w:r w:rsidRPr="00994A73">
              <w:rPr>
                <w:rFonts w:ascii="Arial" w:eastAsia="等线" w:hAnsi="Arial" w:cs="Arial"/>
                <w:sz w:val="20"/>
                <w:highlight w:val="yellow"/>
              </w:rPr>
              <w:t>]</w:t>
            </w:r>
          </w:p>
        </w:tc>
      </w:tr>
    </w:tbl>
    <w:p w14:paraId="3A6E955E" w14:textId="77777777" w:rsidR="0030110C" w:rsidRDefault="0030110C" w:rsidP="0030110C">
      <w:pPr>
        <w:rPr>
          <w:rFonts w:ascii="Arial" w:hAnsi="Arial" w:cs="Arial"/>
        </w:rPr>
      </w:pPr>
    </w:p>
    <w:p w14:paraId="146C8686" w14:textId="77777777" w:rsidR="00DA7422" w:rsidRPr="00994A73" w:rsidRDefault="00FE22B4">
      <w:pPr>
        <w:rPr>
          <w:rFonts w:ascii="Arial" w:hAnsi="Arial" w:cs="Arial"/>
        </w:rPr>
      </w:pPr>
      <w:r w:rsidRPr="00994A73">
        <w:rPr>
          <w:rFonts w:ascii="Arial" w:hAnsi="Arial" w:cs="Arial"/>
        </w:rPr>
        <w:t>And there is also the following FFS regarding early measurements with logged MDT measurements.</w:t>
      </w:r>
    </w:p>
    <w:tbl>
      <w:tblPr>
        <w:tblW w:w="86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640"/>
      </w:tblGrid>
      <w:tr w:rsidR="00DA7422" w:rsidRPr="00994A73" w14:paraId="74F9F7C5" w14:textId="77777777">
        <w:trPr>
          <w:cantSplit/>
          <w:tblHeader/>
        </w:trPr>
        <w:tc>
          <w:tcPr>
            <w:tcW w:w="8640" w:type="dxa"/>
            <w:tcBorders>
              <w:top w:val="single" w:sz="4" w:space="0" w:color="808080"/>
              <w:left w:val="single" w:sz="4" w:space="0" w:color="808080"/>
              <w:bottom w:val="single" w:sz="4" w:space="0" w:color="808080"/>
              <w:right w:val="single" w:sz="4" w:space="0" w:color="808080"/>
            </w:tcBorders>
            <w:shd w:val="clear" w:color="auto" w:fill="auto"/>
          </w:tcPr>
          <w:p w14:paraId="2271709D" w14:textId="77777777" w:rsidR="00DA7422" w:rsidRPr="00994A73" w:rsidRDefault="00FE22B4">
            <w:pPr>
              <w:pStyle w:val="af"/>
              <w:keepNext/>
              <w:keepLines/>
              <w:overflowPunct w:val="0"/>
              <w:autoSpaceDE w:val="0"/>
              <w:autoSpaceDN w:val="0"/>
              <w:adjustRightInd w:val="0"/>
              <w:spacing w:before="0" w:beforeAutospacing="0" w:after="0" w:afterAutospacing="0"/>
              <w:jc w:val="center"/>
              <w:rPr>
                <w:rFonts w:ascii="Arial" w:hAnsi="Arial" w:cs="Arial"/>
                <w:lang w:eastAsia="en-US"/>
              </w:rPr>
            </w:pPr>
            <w:r w:rsidRPr="00994A73">
              <w:rPr>
                <w:rFonts w:ascii="Arial" w:eastAsia="Times New Roman" w:hAnsi="Arial" w:cs="Arial"/>
                <w:b/>
                <w:bCs/>
                <w:i/>
                <w:kern w:val="0"/>
                <w:sz w:val="18"/>
                <w:szCs w:val="20"/>
                <w:lang w:eastAsia="sv" w:bidi="ar"/>
              </w:rPr>
              <w:t>AreaConfiguration</w:t>
            </w:r>
            <w:r w:rsidRPr="00994A73">
              <w:rPr>
                <w:rFonts w:ascii="Arial" w:eastAsia="Times New Roman" w:hAnsi="Arial" w:cs="Arial"/>
                <w:b/>
                <w:bCs/>
                <w:i/>
                <w:iCs/>
                <w:kern w:val="0"/>
                <w:sz w:val="18"/>
                <w:szCs w:val="20"/>
                <w:lang w:eastAsia="sv" w:bidi="ar"/>
              </w:rPr>
              <w:t xml:space="preserve"> </w:t>
            </w:r>
            <w:r w:rsidRPr="00994A73">
              <w:rPr>
                <w:rFonts w:ascii="Arial" w:eastAsia="Times New Roman" w:hAnsi="Arial" w:cs="Arial"/>
                <w:b/>
                <w:iCs/>
                <w:kern w:val="0"/>
                <w:sz w:val="18"/>
                <w:szCs w:val="20"/>
                <w:lang w:eastAsia="en-US" w:bidi="ar"/>
              </w:rPr>
              <w:t>field descriptions</w:t>
            </w:r>
          </w:p>
        </w:tc>
      </w:tr>
      <w:tr w:rsidR="00DA7422" w:rsidRPr="00994A73" w14:paraId="14047BEC" w14:textId="77777777">
        <w:trPr>
          <w:cantSplit/>
          <w:trHeight w:val="105"/>
        </w:trPr>
        <w:tc>
          <w:tcPr>
            <w:tcW w:w="8640" w:type="dxa"/>
            <w:tcBorders>
              <w:top w:val="single" w:sz="4" w:space="0" w:color="808080"/>
              <w:left w:val="single" w:sz="4" w:space="0" w:color="808080"/>
              <w:bottom w:val="single" w:sz="4" w:space="0" w:color="808080"/>
              <w:right w:val="single" w:sz="4" w:space="0" w:color="808080"/>
            </w:tcBorders>
            <w:shd w:val="clear" w:color="auto" w:fill="auto"/>
          </w:tcPr>
          <w:p w14:paraId="34A33E5F" w14:textId="77777777" w:rsidR="00DA7422" w:rsidRPr="00994A73" w:rsidRDefault="00FE22B4">
            <w:pPr>
              <w:pStyle w:val="af"/>
              <w:keepNext/>
              <w:keepLines/>
              <w:overflowPunct w:val="0"/>
              <w:autoSpaceDE w:val="0"/>
              <w:autoSpaceDN w:val="0"/>
              <w:adjustRightInd w:val="0"/>
              <w:spacing w:before="0" w:beforeAutospacing="0" w:after="0" w:afterAutospacing="0"/>
              <w:rPr>
                <w:rFonts w:ascii="Arial" w:hAnsi="Arial" w:cs="Arial"/>
                <w:b/>
                <w:i/>
                <w:lang w:eastAsia="sv"/>
              </w:rPr>
            </w:pPr>
            <w:r w:rsidRPr="00994A73">
              <w:rPr>
                <w:rFonts w:ascii="Arial" w:eastAsia="Times New Roman" w:hAnsi="Arial" w:cs="Arial"/>
                <w:b/>
                <w:i/>
                <w:sz w:val="18"/>
                <w:szCs w:val="20"/>
                <w:lang w:bidi="ar"/>
              </w:rPr>
              <w:t>InterFreqTargetInfo</w:t>
            </w:r>
          </w:p>
          <w:p w14:paraId="759C9B73" w14:textId="77777777" w:rsidR="00DA7422" w:rsidRPr="00994A73" w:rsidRDefault="00FE22B4">
            <w:pPr>
              <w:pStyle w:val="af"/>
              <w:keepNext/>
              <w:keepLines/>
              <w:overflowPunct w:val="0"/>
              <w:autoSpaceDE w:val="0"/>
              <w:autoSpaceDN w:val="0"/>
              <w:adjustRightInd w:val="0"/>
              <w:spacing w:before="0" w:beforeAutospacing="0" w:after="0" w:afterAutospacing="0"/>
              <w:rPr>
                <w:rFonts w:ascii="Arial" w:hAnsi="Arial" w:cs="Arial"/>
                <w:b/>
                <w:i/>
                <w:lang w:eastAsia="sv"/>
              </w:rPr>
            </w:pPr>
            <w:r w:rsidRPr="00994A73">
              <w:rPr>
                <w:rFonts w:ascii="Arial" w:eastAsia="Times New Roman" w:hAnsi="Arial" w:cs="Arial"/>
                <w:bCs/>
                <w:iCs/>
                <w:kern w:val="0"/>
                <w:sz w:val="18"/>
                <w:szCs w:val="20"/>
                <w:lang w:eastAsia="ko" w:bidi="ar"/>
              </w:rPr>
              <w:t xml:space="preserve">If configured, it indicates the neighbouring frequency and cells for which UE is requested to perform measurement logging. </w:t>
            </w:r>
            <w:r w:rsidRPr="00994A73">
              <w:rPr>
                <w:rFonts w:ascii="Arial" w:eastAsia="Times New Roman" w:hAnsi="Arial" w:cs="Arial"/>
                <w:bCs/>
                <w:iCs/>
                <w:kern w:val="0"/>
                <w:sz w:val="18"/>
                <w:szCs w:val="20"/>
                <w:highlight w:val="yellow"/>
                <w:lang w:eastAsia="ko" w:bidi="ar"/>
              </w:rPr>
              <w:t>[FFS: on the description based on RAN2 agreements.]</w:t>
            </w:r>
          </w:p>
        </w:tc>
      </w:tr>
    </w:tbl>
    <w:p w14:paraId="0B12CB01" w14:textId="77777777" w:rsidR="00DA7422" w:rsidRPr="00994A73" w:rsidRDefault="00DA7422">
      <w:pPr>
        <w:rPr>
          <w:rFonts w:ascii="Arial" w:hAnsi="Arial" w:cs="Arial"/>
        </w:rPr>
      </w:pPr>
    </w:p>
    <w:p w14:paraId="6B0296AA" w14:textId="77777777" w:rsidR="00DA7422" w:rsidRPr="00994A73" w:rsidRDefault="00FE22B4">
      <w:pPr>
        <w:rPr>
          <w:rFonts w:ascii="Arial" w:hAnsi="Arial" w:cs="Arial"/>
        </w:rPr>
      </w:pPr>
      <w:r w:rsidRPr="00994A73">
        <w:rPr>
          <w:rFonts w:ascii="Arial" w:eastAsia="宋体" w:hAnsi="Arial" w:cs="Arial"/>
          <w:lang w:bidi="ar"/>
        </w:rPr>
        <w:t>The above mentioned two FFS actually refer to how to combine EMR with MDT. Basically, there are two options to solve this problem.</w:t>
      </w:r>
    </w:p>
    <w:p w14:paraId="5D5AE587" w14:textId="77777777" w:rsidR="00DA7422" w:rsidRPr="00AC5640" w:rsidRDefault="00FE22B4" w:rsidP="00AC5640">
      <w:pPr>
        <w:pStyle w:val="af9"/>
        <w:numPr>
          <w:ilvl w:val="0"/>
          <w:numId w:val="5"/>
        </w:numPr>
        <w:rPr>
          <w:rFonts w:ascii="Arial" w:hAnsi="Arial" w:cs="Arial"/>
        </w:rPr>
      </w:pPr>
      <w:r w:rsidRPr="00AC5640">
        <w:rPr>
          <w:rFonts w:ascii="Arial" w:eastAsia="宋体" w:hAnsi="Arial" w:cs="Arial"/>
          <w:b/>
          <w:lang w:bidi="ar"/>
        </w:rPr>
        <w:t xml:space="preserve">Option a: </w:t>
      </w:r>
      <w:r w:rsidRPr="00AC5640">
        <w:rPr>
          <w:rFonts w:ascii="Arial" w:eastAsia="宋体" w:hAnsi="Arial" w:cs="Arial"/>
          <w:lang w:bidi="ar"/>
        </w:rPr>
        <w:t>Add a separate element to carry EMR inside logged MDT measurement results report. This option may bring redundancy since the two measurements may simultaneously operate and record the same results. However, this is simple for UE implementation while the results filtrate could be left to the network side.</w:t>
      </w:r>
    </w:p>
    <w:p w14:paraId="032449EF" w14:textId="242052CF" w:rsidR="00DA7422" w:rsidRPr="00AC5640" w:rsidRDefault="00FE22B4" w:rsidP="00AC5640">
      <w:pPr>
        <w:pStyle w:val="af9"/>
        <w:numPr>
          <w:ilvl w:val="0"/>
          <w:numId w:val="5"/>
        </w:numPr>
        <w:rPr>
          <w:rFonts w:ascii="Arial" w:hAnsi="Arial" w:cs="Arial"/>
        </w:rPr>
      </w:pPr>
      <w:r w:rsidRPr="00AC5640">
        <w:rPr>
          <w:rFonts w:ascii="Arial" w:eastAsia="宋体" w:hAnsi="Arial" w:cs="Arial"/>
          <w:b/>
          <w:lang w:bidi="ar"/>
        </w:rPr>
        <w:t xml:space="preserve">Option b: </w:t>
      </w:r>
      <w:r w:rsidRPr="00AC5640">
        <w:rPr>
          <w:rFonts w:ascii="Arial" w:eastAsia="宋体" w:hAnsi="Arial" w:cs="Arial"/>
          <w:lang w:bidi="ar"/>
        </w:rPr>
        <w:t>The UE selects and combines appropriate MER with logged MDT measurements report. For the measurements results of the same cell and frequency band and simultaneously recorded by EMR and MDT, the UE just keeps one set of them in the final report. For the measurement results of the same cell and frequency band and not simultaneously recorded by EMR and MDT, the UE should keep the results that reflect to a better cell coverage performance. This option brings no modification for air-interface signaling but is complicated for UE implementation.</w:t>
      </w:r>
    </w:p>
    <w:p w14:paraId="2234F9CB" w14:textId="77777777" w:rsidR="00DA7422" w:rsidRPr="00994A73" w:rsidRDefault="00FE22B4">
      <w:pPr>
        <w:rPr>
          <w:rFonts w:ascii="Arial" w:hAnsi="Arial" w:cs="Arial"/>
        </w:rPr>
      </w:pPr>
      <w:r w:rsidRPr="00994A73">
        <w:rPr>
          <w:rFonts w:ascii="Arial" w:eastAsia="宋体" w:hAnsi="Arial" w:cs="Arial"/>
          <w:lang w:bidi="ar"/>
        </w:rPr>
        <w:t>By comparison, we believe Option a is better to solve the FFS problem.</w:t>
      </w:r>
    </w:p>
    <w:p w14:paraId="655F9B6A" w14:textId="77777777" w:rsidR="00DA7422" w:rsidRPr="00994A73" w:rsidRDefault="00FE22B4">
      <w:pPr>
        <w:rPr>
          <w:rFonts w:ascii="Arial" w:hAnsi="Arial" w:cs="Arial"/>
          <w:b/>
          <w:bCs/>
        </w:rPr>
      </w:pPr>
      <w:r w:rsidRPr="00994A73">
        <w:rPr>
          <w:rFonts w:ascii="Arial" w:hAnsi="Arial" w:cs="Arial"/>
          <w:b/>
          <w:bCs/>
        </w:rPr>
        <w:t xml:space="preserve">Proposal 2: </w:t>
      </w:r>
      <w:r w:rsidRPr="00994A73">
        <w:rPr>
          <w:rFonts w:ascii="Arial" w:eastAsia="宋体" w:hAnsi="Arial" w:cs="Arial"/>
          <w:b/>
          <w:bCs/>
          <w:lang w:bidi="ar"/>
        </w:rPr>
        <w:t xml:space="preserve">Add a separate element to carry EMR inside logged MDT measurement results report. </w:t>
      </w:r>
    </w:p>
    <w:p w14:paraId="1FDA2AF8" w14:textId="77777777" w:rsidR="00DA7422" w:rsidRPr="00994A73" w:rsidRDefault="00DA7422">
      <w:pPr>
        <w:rPr>
          <w:rFonts w:ascii="Arial" w:hAnsi="Arial" w:cs="Arial"/>
        </w:rPr>
      </w:pPr>
    </w:p>
    <w:p w14:paraId="0FAF306E" w14:textId="77777777" w:rsidR="00DA7422" w:rsidRPr="00994A73" w:rsidRDefault="00FE22B4">
      <w:pPr>
        <w:pStyle w:val="af0"/>
        <w:jc w:val="left"/>
        <w:rPr>
          <w:rFonts w:ascii="Arial" w:eastAsia="Times New Roman" w:hAnsi="Arial" w:cs="Arial"/>
          <w:b w:val="0"/>
          <w:bCs w:val="0"/>
          <w:sz w:val="28"/>
          <w:szCs w:val="20"/>
        </w:rPr>
      </w:pPr>
      <w:r w:rsidRPr="00994A73">
        <w:rPr>
          <w:rFonts w:ascii="Arial" w:eastAsia="Times New Roman" w:hAnsi="Arial" w:cs="Arial"/>
          <w:b w:val="0"/>
          <w:bCs w:val="0"/>
          <w:sz w:val="28"/>
          <w:szCs w:val="20"/>
        </w:rPr>
        <w:t>3</w:t>
      </w:r>
      <w:r w:rsidRPr="00994A73">
        <w:rPr>
          <w:rFonts w:ascii="Arial" w:eastAsia="Times New Roman" w:hAnsi="Arial" w:cs="Arial"/>
          <w:b w:val="0"/>
          <w:bCs w:val="0"/>
          <w:sz w:val="28"/>
          <w:szCs w:val="20"/>
        </w:rPr>
        <w:tab/>
        <w:t>Conclusion</w:t>
      </w:r>
    </w:p>
    <w:p w14:paraId="4EE1B89D" w14:textId="77777777" w:rsidR="00DA7422" w:rsidRPr="00994A73" w:rsidRDefault="00FE22B4">
      <w:pPr>
        <w:rPr>
          <w:rFonts w:ascii="Arial" w:eastAsia="宋体" w:hAnsi="Arial" w:cs="Arial"/>
        </w:rPr>
      </w:pPr>
      <w:r w:rsidRPr="00994A73">
        <w:rPr>
          <w:rFonts w:ascii="Arial" w:eastAsia="宋体" w:hAnsi="Arial" w:cs="Arial"/>
        </w:rPr>
        <w:t>In this paper, we discuss remaining issues for signalling based logged MDT overriding, and it is proposed:</w:t>
      </w:r>
    </w:p>
    <w:p w14:paraId="447431E8" w14:textId="77777777" w:rsidR="00DA7422" w:rsidRPr="00994A73" w:rsidRDefault="00FE22B4">
      <w:pPr>
        <w:rPr>
          <w:rFonts w:ascii="Arial" w:hAnsi="Arial" w:cs="Arial"/>
          <w:b/>
        </w:rPr>
      </w:pPr>
      <w:r w:rsidRPr="00994A73">
        <w:rPr>
          <w:rFonts w:ascii="Arial" w:hAnsi="Arial" w:cs="Arial"/>
          <w:b/>
        </w:rPr>
        <w:t>Proposal 1: It is proposed to introduce an explicit indication to indicate whether T330 is running or not.</w:t>
      </w:r>
    </w:p>
    <w:p w14:paraId="38AB6713" w14:textId="77777777" w:rsidR="00DA7422" w:rsidRPr="00994A73" w:rsidRDefault="00FE22B4">
      <w:pPr>
        <w:rPr>
          <w:rFonts w:ascii="Arial" w:hAnsi="Arial" w:cs="Arial"/>
        </w:rPr>
      </w:pPr>
      <w:r w:rsidRPr="00994A73">
        <w:rPr>
          <w:rFonts w:ascii="Arial" w:hAnsi="Arial" w:cs="Arial"/>
          <w:b/>
          <w:bCs/>
        </w:rPr>
        <w:lastRenderedPageBreak/>
        <w:t xml:space="preserve">Proposal 2: </w:t>
      </w:r>
      <w:r w:rsidRPr="00994A73">
        <w:rPr>
          <w:rFonts w:ascii="Arial" w:eastAsia="宋体" w:hAnsi="Arial" w:cs="Arial"/>
          <w:b/>
          <w:bCs/>
          <w:lang w:bidi="ar"/>
        </w:rPr>
        <w:t xml:space="preserve">Add a separate element to carry EMR inside logged MDT measurement results report. </w:t>
      </w:r>
    </w:p>
    <w:p w14:paraId="229E1CEB" w14:textId="77777777" w:rsidR="00DA7422" w:rsidRPr="00994A73" w:rsidRDefault="00FE22B4">
      <w:pPr>
        <w:pStyle w:val="af0"/>
        <w:jc w:val="left"/>
        <w:rPr>
          <w:rFonts w:ascii="Arial" w:eastAsia="Times New Roman" w:hAnsi="Arial" w:cs="Arial"/>
          <w:b w:val="0"/>
          <w:bCs w:val="0"/>
          <w:sz w:val="28"/>
          <w:szCs w:val="20"/>
        </w:rPr>
      </w:pPr>
      <w:r w:rsidRPr="00994A73">
        <w:rPr>
          <w:rFonts w:ascii="Arial" w:eastAsia="Times New Roman" w:hAnsi="Arial" w:cs="Arial"/>
          <w:b w:val="0"/>
          <w:bCs w:val="0"/>
          <w:sz w:val="28"/>
          <w:szCs w:val="20"/>
        </w:rPr>
        <w:t>4</w:t>
      </w:r>
      <w:r w:rsidRPr="00994A73">
        <w:rPr>
          <w:rFonts w:ascii="Arial" w:eastAsia="Times New Roman" w:hAnsi="Arial" w:cs="Arial"/>
          <w:b w:val="0"/>
          <w:bCs w:val="0"/>
          <w:sz w:val="28"/>
          <w:szCs w:val="20"/>
        </w:rPr>
        <w:tab/>
        <w:t>References</w:t>
      </w:r>
    </w:p>
    <w:p w14:paraId="26C8351F" w14:textId="77777777" w:rsidR="00DA7422" w:rsidRPr="00994A73" w:rsidRDefault="00FE22B4">
      <w:pPr>
        <w:numPr>
          <w:ilvl w:val="0"/>
          <w:numId w:val="4"/>
        </w:numPr>
        <w:rPr>
          <w:rFonts w:ascii="Arial" w:hAnsi="Arial" w:cs="Arial"/>
        </w:rPr>
      </w:pPr>
      <w:r w:rsidRPr="00994A73">
        <w:rPr>
          <w:rFonts w:ascii="Arial" w:hAnsi="Arial" w:cs="Arial"/>
        </w:rPr>
        <w:t>R2-2200010, Running 38.331 for introducing R17 MDT, Huawei, HiSilicon</w:t>
      </w:r>
    </w:p>
    <w:p w14:paraId="69AAA041" w14:textId="77777777" w:rsidR="00DA7422" w:rsidRPr="00994A73" w:rsidRDefault="00DA7422">
      <w:pPr>
        <w:rPr>
          <w:rFonts w:ascii="Arial" w:hAnsi="Arial" w:cs="Arial"/>
        </w:rPr>
      </w:pPr>
    </w:p>
    <w:p w14:paraId="51D2CE14" w14:textId="77777777" w:rsidR="00DA7422" w:rsidRPr="00994A73" w:rsidRDefault="00DA7422">
      <w:pPr>
        <w:rPr>
          <w:rFonts w:ascii="Arial" w:hAnsi="Arial" w:cs="Arial"/>
        </w:rPr>
      </w:pPr>
    </w:p>
    <w:sectPr w:rsidR="00DA7422" w:rsidRPr="00994A73">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27D5E" w14:textId="77777777" w:rsidR="00277930" w:rsidRDefault="00FE22B4">
      <w:r>
        <w:separator/>
      </w:r>
    </w:p>
  </w:endnote>
  <w:endnote w:type="continuationSeparator" w:id="0">
    <w:p w14:paraId="183C9892" w14:textId="77777777" w:rsidR="00277930" w:rsidRDefault="00FE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A068D" w14:textId="77777777" w:rsidR="00DA7422" w:rsidRDefault="00FE22B4">
    <w:pPr>
      <w:pStyle w:val="ac"/>
    </w:pPr>
    <w:r>
      <w:rPr>
        <w:rStyle w:val="af4"/>
      </w:rPr>
      <w:fldChar w:fldCharType="begin"/>
    </w:r>
    <w:r>
      <w:rPr>
        <w:rStyle w:val="af4"/>
      </w:rPr>
      <w:instrText xml:space="preserve"> PAGE </w:instrText>
    </w:r>
    <w:r>
      <w:rPr>
        <w:rStyle w:val="af4"/>
      </w:rPr>
      <w:fldChar w:fldCharType="separate"/>
    </w:r>
    <w:r w:rsidR="00EB1010">
      <w:rPr>
        <w:rStyle w:val="af4"/>
        <w:noProof/>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EB1010">
      <w:rPr>
        <w:rStyle w:val="af4"/>
        <w:noProof/>
      </w:rPr>
      <w:t>4</w:t>
    </w:r>
    <w:r>
      <w:rPr>
        <w:rStyle w:val="af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8608D" w14:textId="77777777" w:rsidR="00277930" w:rsidRDefault="00FE22B4">
      <w:r>
        <w:separator/>
      </w:r>
    </w:p>
  </w:footnote>
  <w:footnote w:type="continuationSeparator" w:id="0">
    <w:p w14:paraId="45A1E297" w14:textId="77777777" w:rsidR="00277930" w:rsidRDefault="00FE2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365"/>
    <w:multiLevelType w:val="multilevel"/>
    <w:tmpl w:val="034063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E0BC5"/>
    <w:multiLevelType w:val="multilevel"/>
    <w:tmpl w:val="042E0B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5840133"/>
    <w:multiLevelType w:val="hybridMultilevel"/>
    <w:tmpl w:val="6636AED6"/>
    <w:lvl w:ilvl="0" w:tplc="03DC714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5"/>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9637BF74"/>
    <w:rsid w:val="9CFF48EA"/>
    <w:rsid w:val="D1B790A4"/>
    <w:rsid w:val="F13F59D9"/>
    <w:rsid w:val="FDFFDDDB"/>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1BD"/>
    <w:rsid w:val="000244DF"/>
    <w:rsid w:val="00024CD5"/>
    <w:rsid w:val="00025356"/>
    <w:rsid w:val="00025843"/>
    <w:rsid w:val="00025CD5"/>
    <w:rsid w:val="00025FC8"/>
    <w:rsid w:val="00025FDA"/>
    <w:rsid w:val="00026AE7"/>
    <w:rsid w:val="00027038"/>
    <w:rsid w:val="0002789D"/>
    <w:rsid w:val="000278B2"/>
    <w:rsid w:val="0003005C"/>
    <w:rsid w:val="00030F82"/>
    <w:rsid w:val="00030FFB"/>
    <w:rsid w:val="00031376"/>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A1C"/>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96A"/>
    <w:rsid w:val="00085A2C"/>
    <w:rsid w:val="000875ED"/>
    <w:rsid w:val="0008764E"/>
    <w:rsid w:val="00091AAD"/>
    <w:rsid w:val="00091E3E"/>
    <w:rsid w:val="00092102"/>
    <w:rsid w:val="000928E2"/>
    <w:rsid w:val="000931FF"/>
    <w:rsid w:val="000937FD"/>
    <w:rsid w:val="00093939"/>
    <w:rsid w:val="000942A1"/>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2D1C"/>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304"/>
    <w:rsid w:val="000E59B2"/>
    <w:rsid w:val="000E5E31"/>
    <w:rsid w:val="000E678C"/>
    <w:rsid w:val="000E67E3"/>
    <w:rsid w:val="000F1992"/>
    <w:rsid w:val="000F2D35"/>
    <w:rsid w:val="000F303A"/>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B5F"/>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35D"/>
    <w:rsid w:val="001265BF"/>
    <w:rsid w:val="0013021E"/>
    <w:rsid w:val="00130F73"/>
    <w:rsid w:val="00131D4F"/>
    <w:rsid w:val="0013220E"/>
    <w:rsid w:val="00132C5E"/>
    <w:rsid w:val="00132F7C"/>
    <w:rsid w:val="00133104"/>
    <w:rsid w:val="00133C85"/>
    <w:rsid w:val="00134220"/>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B11"/>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56"/>
    <w:rsid w:val="00167872"/>
    <w:rsid w:val="00167954"/>
    <w:rsid w:val="0017010E"/>
    <w:rsid w:val="001704DF"/>
    <w:rsid w:val="00170B86"/>
    <w:rsid w:val="00170F14"/>
    <w:rsid w:val="00172342"/>
    <w:rsid w:val="001730D3"/>
    <w:rsid w:val="00173254"/>
    <w:rsid w:val="00173595"/>
    <w:rsid w:val="00173A15"/>
    <w:rsid w:val="00173BF7"/>
    <w:rsid w:val="00173DA0"/>
    <w:rsid w:val="00174122"/>
    <w:rsid w:val="00174AF9"/>
    <w:rsid w:val="00174D04"/>
    <w:rsid w:val="00175EEA"/>
    <w:rsid w:val="001760A5"/>
    <w:rsid w:val="00176A09"/>
    <w:rsid w:val="00176A4E"/>
    <w:rsid w:val="00176AAC"/>
    <w:rsid w:val="001807DE"/>
    <w:rsid w:val="00180A47"/>
    <w:rsid w:val="00180F3D"/>
    <w:rsid w:val="00182214"/>
    <w:rsid w:val="00183653"/>
    <w:rsid w:val="00183DD4"/>
    <w:rsid w:val="0018410C"/>
    <w:rsid w:val="001842B2"/>
    <w:rsid w:val="001849CC"/>
    <w:rsid w:val="0018538D"/>
    <w:rsid w:val="00185406"/>
    <w:rsid w:val="00187BD8"/>
    <w:rsid w:val="00187C3A"/>
    <w:rsid w:val="001913EE"/>
    <w:rsid w:val="00192234"/>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72DC"/>
    <w:rsid w:val="001D797D"/>
    <w:rsid w:val="001E02AA"/>
    <w:rsid w:val="001E0627"/>
    <w:rsid w:val="001E10F6"/>
    <w:rsid w:val="001E11D7"/>
    <w:rsid w:val="001E1660"/>
    <w:rsid w:val="001E1A58"/>
    <w:rsid w:val="001E21A8"/>
    <w:rsid w:val="001E2232"/>
    <w:rsid w:val="001E235C"/>
    <w:rsid w:val="001E25FC"/>
    <w:rsid w:val="001E289A"/>
    <w:rsid w:val="001E3C47"/>
    <w:rsid w:val="001E45DE"/>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634"/>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55E"/>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E9F"/>
    <w:rsid w:val="00235F30"/>
    <w:rsid w:val="002365F4"/>
    <w:rsid w:val="0023717B"/>
    <w:rsid w:val="00237808"/>
    <w:rsid w:val="00237A74"/>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930"/>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216"/>
    <w:rsid w:val="00295F37"/>
    <w:rsid w:val="002968BE"/>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23"/>
    <w:rsid w:val="002C6C46"/>
    <w:rsid w:val="002D121D"/>
    <w:rsid w:val="002D2855"/>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1D7"/>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110C"/>
    <w:rsid w:val="0030265A"/>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7A5"/>
    <w:rsid w:val="00323C63"/>
    <w:rsid w:val="003245CA"/>
    <w:rsid w:val="00324AF4"/>
    <w:rsid w:val="00324C3B"/>
    <w:rsid w:val="003251EA"/>
    <w:rsid w:val="00325B47"/>
    <w:rsid w:val="00326099"/>
    <w:rsid w:val="003270DD"/>
    <w:rsid w:val="00327190"/>
    <w:rsid w:val="00327B7A"/>
    <w:rsid w:val="0033003A"/>
    <w:rsid w:val="00330513"/>
    <w:rsid w:val="003307AE"/>
    <w:rsid w:val="00331241"/>
    <w:rsid w:val="0033333F"/>
    <w:rsid w:val="00333E2A"/>
    <w:rsid w:val="00334461"/>
    <w:rsid w:val="003347D5"/>
    <w:rsid w:val="003352B8"/>
    <w:rsid w:val="00335697"/>
    <w:rsid w:val="0033586E"/>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ED"/>
    <w:rsid w:val="00366D86"/>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3C4D"/>
    <w:rsid w:val="003C4F5D"/>
    <w:rsid w:val="003C505E"/>
    <w:rsid w:val="003C5D5A"/>
    <w:rsid w:val="003C5F99"/>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36BB"/>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1F2"/>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1515"/>
    <w:rsid w:val="00481715"/>
    <w:rsid w:val="00483264"/>
    <w:rsid w:val="004832D1"/>
    <w:rsid w:val="00485A1A"/>
    <w:rsid w:val="00485A7A"/>
    <w:rsid w:val="0048659D"/>
    <w:rsid w:val="00486786"/>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6D6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4A3E"/>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EF2"/>
    <w:rsid w:val="004D7AA7"/>
    <w:rsid w:val="004D7D1A"/>
    <w:rsid w:val="004E0336"/>
    <w:rsid w:val="004E07E9"/>
    <w:rsid w:val="004E0AB6"/>
    <w:rsid w:val="004E0EA4"/>
    <w:rsid w:val="004E105E"/>
    <w:rsid w:val="004E1D71"/>
    <w:rsid w:val="004E235D"/>
    <w:rsid w:val="004E258F"/>
    <w:rsid w:val="004E2678"/>
    <w:rsid w:val="004E2F6C"/>
    <w:rsid w:val="004E3817"/>
    <w:rsid w:val="004E4065"/>
    <w:rsid w:val="004E4435"/>
    <w:rsid w:val="004E4F9E"/>
    <w:rsid w:val="004E74C6"/>
    <w:rsid w:val="004E7CDD"/>
    <w:rsid w:val="004E7D22"/>
    <w:rsid w:val="004F0138"/>
    <w:rsid w:val="004F03BB"/>
    <w:rsid w:val="004F0C38"/>
    <w:rsid w:val="004F0EDE"/>
    <w:rsid w:val="004F1043"/>
    <w:rsid w:val="004F1D33"/>
    <w:rsid w:val="004F208F"/>
    <w:rsid w:val="004F2332"/>
    <w:rsid w:val="004F2C0F"/>
    <w:rsid w:val="004F33B3"/>
    <w:rsid w:val="004F35AF"/>
    <w:rsid w:val="004F3AF9"/>
    <w:rsid w:val="004F3D43"/>
    <w:rsid w:val="004F523D"/>
    <w:rsid w:val="004F53AD"/>
    <w:rsid w:val="004F5813"/>
    <w:rsid w:val="004F58FE"/>
    <w:rsid w:val="004F6E18"/>
    <w:rsid w:val="004F721E"/>
    <w:rsid w:val="004F7DF0"/>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D4B"/>
    <w:rsid w:val="00557EDA"/>
    <w:rsid w:val="00560DB8"/>
    <w:rsid w:val="0056261C"/>
    <w:rsid w:val="0056287E"/>
    <w:rsid w:val="0056374C"/>
    <w:rsid w:val="00565856"/>
    <w:rsid w:val="00566658"/>
    <w:rsid w:val="00567784"/>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1BF0"/>
    <w:rsid w:val="00583102"/>
    <w:rsid w:val="005832A4"/>
    <w:rsid w:val="00583BFD"/>
    <w:rsid w:val="00584078"/>
    <w:rsid w:val="0058415D"/>
    <w:rsid w:val="005846A0"/>
    <w:rsid w:val="00584CED"/>
    <w:rsid w:val="00584D31"/>
    <w:rsid w:val="00584EBD"/>
    <w:rsid w:val="00584F20"/>
    <w:rsid w:val="00586153"/>
    <w:rsid w:val="00590374"/>
    <w:rsid w:val="005908BB"/>
    <w:rsid w:val="00591B5A"/>
    <w:rsid w:val="00591DB3"/>
    <w:rsid w:val="005922A9"/>
    <w:rsid w:val="00592E0A"/>
    <w:rsid w:val="00593149"/>
    <w:rsid w:val="005937BF"/>
    <w:rsid w:val="00594BAB"/>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3CB"/>
    <w:rsid w:val="005B76F7"/>
    <w:rsid w:val="005B7CC5"/>
    <w:rsid w:val="005C1747"/>
    <w:rsid w:val="005C22F4"/>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6BB2"/>
    <w:rsid w:val="005D6EB2"/>
    <w:rsid w:val="005D7C73"/>
    <w:rsid w:val="005E07A2"/>
    <w:rsid w:val="005E164C"/>
    <w:rsid w:val="005E1724"/>
    <w:rsid w:val="005E1897"/>
    <w:rsid w:val="005E35DD"/>
    <w:rsid w:val="005E4078"/>
    <w:rsid w:val="005E41E6"/>
    <w:rsid w:val="005E45E9"/>
    <w:rsid w:val="005E5061"/>
    <w:rsid w:val="005E5199"/>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2B5C"/>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4A1"/>
    <w:rsid w:val="00635F76"/>
    <w:rsid w:val="00636605"/>
    <w:rsid w:val="00636963"/>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89B"/>
    <w:rsid w:val="006650F3"/>
    <w:rsid w:val="00665815"/>
    <w:rsid w:val="00665BB5"/>
    <w:rsid w:val="006662C4"/>
    <w:rsid w:val="006665D8"/>
    <w:rsid w:val="00667656"/>
    <w:rsid w:val="0067096C"/>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47B3"/>
    <w:rsid w:val="006B51FA"/>
    <w:rsid w:val="006B58BA"/>
    <w:rsid w:val="006B6657"/>
    <w:rsid w:val="006B7445"/>
    <w:rsid w:val="006B76F0"/>
    <w:rsid w:val="006C0C71"/>
    <w:rsid w:val="006C2AB5"/>
    <w:rsid w:val="006C41B0"/>
    <w:rsid w:val="006C440F"/>
    <w:rsid w:val="006C55A2"/>
    <w:rsid w:val="006C5DAC"/>
    <w:rsid w:val="006C6539"/>
    <w:rsid w:val="006C67DF"/>
    <w:rsid w:val="006C7F0D"/>
    <w:rsid w:val="006D002C"/>
    <w:rsid w:val="006D05B4"/>
    <w:rsid w:val="006D0630"/>
    <w:rsid w:val="006D0E78"/>
    <w:rsid w:val="006D1C74"/>
    <w:rsid w:val="006D1E31"/>
    <w:rsid w:val="006D207B"/>
    <w:rsid w:val="006D21BF"/>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3B1E"/>
    <w:rsid w:val="00704C8D"/>
    <w:rsid w:val="007058B5"/>
    <w:rsid w:val="00705BC2"/>
    <w:rsid w:val="00705C4A"/>
    <w:rsid w:val="00706835"/>
    <w:rsid w:val="00707668"/>
    <w:rsid w:val="00710AF1"/>
    <w:rsid w:val="00711839"/>
    <w:rsid w:val="00711931"/>
    <w:rsid w:val="00712020"/>
    <w:rsid w:val="00712540"/>
    <w:rsid w:val="0071419C"/>
    <w:rsid w:val="00715699"/>
    <w:rsid w:val="00715C59"/>
    <w:rsid w:val="0071626E"/>
    <w:rsid w:val="00716882"/>
    <w:rsid w:val="00717F62"/>
    <w:rsid w:val="00721CF5"/>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6626"/>
    <w:rsid w:val="007A689C"/>
    <w:rsid w:val="007A7732"/>
    <w:rsid w:val="007B010A"/>
    <w:rsid w:val="007B0282"/>
    <w:rsid w:val="007B0691"/>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54823"/>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0FBA"/>
    <w:rsid w:val="008710FB"/>
    <w:rsid w:val="00871804"/>
    <w:rsid w:val="00871A2E"/>
    <w:rsid w:val="00871ACC"/>
    <w:rsid w:val="008720DC"/>
    <w:rsid w:val="00872CF3"/>
    <w:rsid w:val="00873111"/>
    <w:rsid w:val="00874CB6"/>
    <w:rsid w:val="00874E7A"/>
    <w:rsid w:val="00874F82"/>
    <w:rsid w:val="00874FB4"/>
    <w:rsid w:val="00875646"/>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633"/>
    <w:rsid w:val="008D184F"/>
    <w:rsid w:val="008D1D56"/>
    <w:rsid w:val="008D1EB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C5B"/>
    <w:rsid w:val="0091536D"/>
    <w:rsid w:val="00916091"/>
    <w:rsid w:val="0091654F"/>
    <w:rsid w:val="00916A04"/>
    <w:rsid w:val="009172C8"/>
    <w:rsid w:val="009178B7"/>
    <w:rsid w:val="00917E7A"/>
    <w:rsid w:val="00920CE5"/>
    <w:rsid w:val="00921455"/>
    <w:rsid w:val="0092206F"/>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0AA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F56"/>
    <w:rsid w:val="00955F27"/>
    <w:rsid w:val="0095649A"/>
    <w:rsid w:val="00956C01"/>
    <w:rsid w:val="00956FF4"/>
    <w:rsid w:val="00957218"/>
    <w:rsid w:val="009578A1"/>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464"/>
    <w:rsid w:val="00974058"/>
    <w:rsid w:val="0097466B"/>
    <w:rsid w:val="009752A8"/>
    <w:rsid w:val="0097573A"/>
    <w:rsid w:val="00976231"/>
    <w:rsid w:val="009800DB"/>
    <w:rsid w:val="00981498"/>
    <w:rsid w:val="00981528"/>
    <w:rsid w:val="0098168E"/>
    <w:rsid w:val="009819E8"/>
    <w:rsid w:val="00982045"/>
    <w:rsid w:val="009828ED"/>
    <w:rsid w:val="00983DF0"/>
    <w:rsid w:val="0098466A"/>
    <w:rsid w:val="009857B5"/>
    <w:rsid w:val="00985B83"/>
    <w:rsid w:val="00985CA0"/>
    <w:rsid w:val="00986B97"/>
    <w:rsid w:val="00987513"/>
    <w:rsid w:val="00990372"/>
    <w:rsid w:val="009912BD"/>
    <w:rsid w:val="0099284E"/>
    <w:rsid w:val="00992BF9"/>
    <w:rsid w:val="00992CEF"/>
    <w:rsid w:val="00993823"/>
    <w:rsid w:val="00993B16"/>
    <w:rsid w:val="00994118"/>
    <w:rsid w:val="00994A73"/>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5346"/>
    <w:rsid w:val="009F5418"/>
    <w:rsid w:val="009F5631"/>
    <w:rsid w:val="009F5E94"/>
    <w:rsid w:val="009F6AEA"/>
    <w:rsid w:val="009F6F5F"/>
    <w:rsid w:val="009F7081"/>
    <w:rsid w:val="009F7B49"/>
    <w:rsid w:val="009F7BBB"/>
    <w:rsid w:val="00A02241"/>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0CF"/>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720"/>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62"/>
    <w:rsid w:val="00A67875"/>
    <w:rsid w:val="00A702A6"/>
    <w:rsid w:val="00A702EF"/>
    <w:rsid w:val="00A71BF4"/>
    <w:rsid w:val="00A723F2"/>
    <w:rsid w:val="00A724A7"/>
    <w:rsid w:val="00A7270B"/>
    <w:rsid w:val="00A727F9"/>
    <w:rsid w:val="00A739F8"/>
    <w:rsid w:val="00A73A65"/>
    <w:rsid w:val="00A73F1E"/>
    <w:rsid w:val="00A74908"/>
    <w:rsid w:val="00A755FA"/>
    <w:rsid w:val="00A75668"/>
    <w:rsid w:val="00A756C7"/>
    <w:rsid w:val="00A7606B"/>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DCD"/>
    <w:rsid w:val="00A838C3"/>
    <w:rsid w:val="00A83D98"/>
    <w:rsid w:val="00A84043"/>
    <w:rsid w:val="00A8422D"/>
    <w:rsid w:val="00A84BB1"/>
    <w:rsid w:val="00A84C21"/>
    <w:rsid w:val="00A85093"/>
    <w:rsid w:val="00A854DD"/>
    <w:rsid w:val="00A87333"/>
    <w:rsid w:val="00A874E3"/>
    <w:rsid w:val="00A87970"/>
    <w:rsid w:val="00A87D70"/>
    <w:rsid w:val="00A900D2"/>
    <w:rsid w:val="00A90707"/>
    <w:rsid w:val="00A91041"/>
    <w:rsid w:val="00A919BA"/>
    <w:rsid w:val="00A9224D"/>
    <w:rsid w:val="00A92B92"/>
    <w:rsid w:val="00A93A39"/>
    <w:rsid w:val="00A9400B"/>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B34"/>
    <w:rsid w:val="00AC3BDA"/>
    <w:rsid w:val="00AC3D75"/>
    <w:rsid w:val="00AC4E0D"/>
    <w:rsid w:val="00AC5640"/>
    <w:rsid w:val="00AC56E0"/>
    <w:rsid w:val="00AC7F6D"/>
    <w:rsid w:val="00AD02DA"/>
    <w:rsid w:val="00AD0793"/>
    <w:rsid w:val="00AD0D51"/>
    <w:rsid w:val="00AD0FB6"/>
    <w:rsid w:val="00AD1840"/>
    <w:rsid w:val="00AD20C7"/>
    <w:rsid w:val="00AD2285"/>
    <w:rsid w:val="00AD2821"/>
    <w:rsid w:val="00AD30C8"/>
    <w:rsid w:val="00AD3A04"/>
    <w:rsid w:val="00AD42AF"/>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4039"/>
    <w:rsid w:val="00B44569"/>
    <w:rsid w:val="00B44AF0"/>
    <w:rsid w:val="00B4514D"/>
    <w:rsid w:val="00B45A51"/>
    <w:rsid w:val="00B45F96"/>
    <w:rsid w:val="00B46394"/>
    <w:rsid w:val="00B4708F"/>
    <w:rsid w:val="00B473AA"/>
    <w:rsid w:val="00B47ECF"/>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7AD"/>
    <w:rsid w:val="00B61928"/>
    <w:rsid w:val="00B6243A"/>
    <w:rsid w:val="00B62D8E"/>
    <w:rsid w:val="00B63793"/>
    <w:rsid w:val="00B647FB"/>
    <w:rsid w:val="00B64C8E"/>
    <w:rsid w:val="00B650AD"/>
    <w:rsid w:val="00B658C6"/>
    <w:rsid w:val="00B65C28"/>
    <w:rsid w:val="00B70E9E"/>
    <w:rsid w:val="00B717CA"/>
    <w:rsid w:val="00B72354"/>
    <w:rsid w:val="00B72C90"/>
    <w:rsid w:val="00B731EA"/>
    <w:rsid w:val="00B732E8"/>
    <w:rsid w:val="00B7380B"/>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B47"/>
    <w:rsid w:val="00B82CFC"/>
    <w:rsid w:val="00B834ED"/>
    <w:rsid w:val="00B838C9"/>
    <w:rsid w:val="00B846E9"/>
    <w:rsid w:val="00B84FAB"/>
    <w:rsid w:val="00B85ED2"/>
    <w:rsid w:val="00B860DB"/>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03E"/>
    <w:rsid w:val="00BA46A4"/>
    <w:rsid w:val="00BA4A89"/>
    <w:rsid w:val="00BA55D6"/>
    <w:rsid w:val="00BA5B05"/>
    <w:rsid w:val="00BA5BFE"/>
    <w:rsid w:val="00BA5D1C"/>
    <w:rsid w:val="00BB06AE"/>
    <w:rsid w:val="00BB2564"/>
    <w:rsid w:val="00BB269C"/>
    <w:rsid w:val="00BB35FA"/>
    <w:rsid w:val="00BB3927"/>
    <w:rsid w:val="00BB4542"/>
    <w:rsid w:val="00BB4BC4"/>
    <w:rsid w:val="00BB4BEF"/>
    <w:rsid w:val="00BB4EDF"/>
    <w:rsid w:val="00BB62E9"/>
    <w:rsid w:val="00BB740F"/>
    <w:rsid w:val="00BB7415"/>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060"/>
    <w:rsid w:val="00C06345"/>
    <w:rsid w:val="00C109E4"/>
    <w:rsid w:val="00C10CAD"/>
    <w:rsid w:val="00C1167E"/>
    <w:rsid w:val="00C11CAF"/>
    <w:rsid w:val="00C12D7B"/>
    <w:rsid w:val="00C13CFD"/>
    <w:rsid w:val="00C143CC"/>
    <w:rsid w:val="00C151D2"/>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52D"/>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18C"/>
    <w:rsid w:val="00CA0FA7"/>
    <w:rsid w:val="00CA1416"/>
    <w:rsid w:val="00CA29D9"/>
    <w:rsid w:val="00CA51A6"/>
    <w:rsid w:val="00CA5694"/>
    <w:rsid w:val="00CA5A12"/>
    <w:rsid w:val="00CA6D7D"/>
    <w:rsid w:val="00CA7B52"/>
    <w:rsid w:val="00CB0A5D"/>
    <w:rsid w:val="00CB1B03"/>
    <w:rsid w:val="00CB2AA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2C4"/>
    <w:rsid w:val="00CD1688"/>
    <w:rsid w:val="00CD186A"/>
    <w:rsid w:val="00CD195E"/>
    <w:rsid w:val="00CD1AF9"/>
    <w:rsid w:val="00CD25B5"/>
    <w:rsid w:val="00CD2727"/>
    <w:rsid w:val="00CD2A43"/>
    <w:rsid w:val="00CD3D81"/>
    <w:rsid w:val="00CD4B4F"/>
    <w:rsid w:val="00CD4EEE"/>
    <w:rsid w:val="00CD6164"/>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75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04F"/>
    <w:rsid w:val="00D25A91"/>
    <w:rsid w:val="00D262CD"/>
    <w:rsid w:val="00D26319"/>
    <w:rsid w:val="00D26D85"/>
    <w:rsid w:val="00D27F24"/>
    <w:rsid w:val="00D3027A"/>
    <w:rsid w:val="00D30A31"/>
    <w:rsid w:val="00D30BAD"/>
    <w:rsid w:val="00D3172D"/>
    <w:rsid w:val="00D3241B"/>
    <w:rsid w:val="00D32510"/>
    <w:rsid w:val="00D327D9"/>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47E6"/>
    <w:rsid w:val="00D557CE"/>
    <w:rsid w:val="00D55863"/>
    <w:rsid w:val="00D5635F"/>
    <w:rsid w:val="00D601EB"/>
    <w:rsid w:val="00D609E8"/>
    <w:rsid w:val="00D611AC"/>
    <w:rsid w:val="00D6194F"/>
    <w:rsid w:val="00D62905"/>
    <w:rsid w:val="00D63619"/>
    <w:rsid w:val="00D63C0F"/>
    <w:rsid w:val="00D63D6C"/>
    <w:rsid w:val="00D64141"/>
    <w:rsid w:val="00D64437"/>
    <w:rsid w:val="00D65A5D"/>
    <w:rsid w:val="00D66133"/>
    <w:rsid w:val="00D668A0"/>
    <w:rsid w:val="00D67043"/>
    <w:rsid w:val="00D67078"/>
    <w:rsid w:val="00D7008E"/>
    <w:rsid w:val="00D73353"/>
    <w:rsid w:val="00D73506"/>
    <w:rsid w:val="00D7472F"/>
    <w:rsid w:val="00D74782"/>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A18E9"/>
    <w:rsid w:val="00DA1DCB"/>
    <w:rsid w:val="00DA1E33"/>
    <w:rsid w:val="00DA1FA2"/>
    <w:rsid w:val="00DA1FB2"/>
    <w:rsid w:val="00DA310C"/>
    <w:rsid w:val="00DA4159"/>
    <w:rsid w:val="00DA4A0D"/>
    <w:rsid w:val="00DA4D13"/>
    <w:rsid w:val="00DA651B"/>
    <w:rsid w:val="00DA664E"/>
    <w:rsid w:val="00DA7136"/>
    <w:rsid w:val="00DA7422"/>
    <w:rsid w:val="00DA75A2"/>
    <w:rsid w:val="00DA7AFA"/>
    <w:rsid w:val="00DB0221"/>
    <w:rsid w:val="00DB07FB"/>
    <w:rsid w:val="00DB1161"/>
    <w:rsid w:val="00DB1E18"/>
    <w:rsid w:val="00DB2D2C"/>
    <w:rsid w:val="00DB2DB8"/>
    <w:rsid w:val="00DB3959"/>
    <w:rsid w:val="00DB403E"/>
    <w:rsid w:val="00DB44AC"/>
    <w:rsid w:val="00DB4DA0"/>
    <w:rsid w:val="00DB585E"/>
    <w:rsid w:val="00DB6E93"/>
    <w:rsid w:val="00DC0970"/>
    <w:rsid w:val="00DC1618"/>
    <w:rsid w:val="00DC20D4"/>
    <w:rsid w:val="00DC25CF"/>
    <w:rsid w:val="00DC2A63"/>
    <w:rsid w:val="00DC30B6"/>
    <w:rsid w:val="00DC4B03"/>
    <w:rsid w:val="00DC59D3"/>
    <w:rsid w:val="00DC5A9A"/>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5E3"/>
    <w:rsid w:val="00E156B4"/>
    <w:rsid w:val="00E15745"/>
    <w:rsid w:val="00E15F74"/>
    <w:rsid w:val="00E16182"/>
    <w:rsid w:val="00E173DF"/>
    <w:rsid w:val="00E20460"/>
    <w:rsid w:val="00E20B9F"/>
    <w:rsid w:val="00E20C3E"/>
    <w:rsid w:val="00E20E2E"/>
    <w:rsid w:val="00E21222"/>
    <w:rsid w:val="00E221D5"/>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33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58FF"/>
    <w:rsid w:val="00E46A94"/>
    <w:rsid w:val="00E502C5"/>
    <w:rsid w:val="00E50457"/>
    <w:rsid w:val="00E5056F"/>
    <w:rsid w:val="00E50CC7"/>
    <w:rsid w:val="00E542DE"/>
    <w:rsid w:val="00E55463"/>
    <w:rsid w:val="00E5598D"/>
    <w:rsid w:val="00E559AA"/>
    <w:rsid w:val="00E55A9C"/>
    <w:rsid w:val="00E561DF"/>
    <w:rsid w:val="00E5648E"/>
    <w:rsid w:val="00E577B4"/>
    <w:rsid w:val="00E60817"/>
    <w:rsid w:val="00E6097C"/>
    <w:rsid w:val="00E60BF1"/>
    <w:rsid w:val="00E614F3"/>
    <w:rsid w:val="00E61DE5"/>
    <w:rsid w:val="00E6220E"/>
    <w:rsid w:val="00E62425"/>
    <w:rsid w:val="00E6305C"/>
    <w:rsid w:val="00E63665"/>
    <w:rsid w:val="00E640C5"/>
    <w:rsid w:val="00E640CD"/>
    <w:rsid w:val="00E648D9"/>
    <w:rsid w:val="00E65089"/>
    <w:rsid w:val="00E65AD6"/>
    <w:rsid w:val="00E65F94"/>
    <w:rsid w:val="00E66302"/>
    <w:rsid w:val="00E6752F"/>
    <w:rsid w:val="00E67F9B"/>
    <w:rsid w:val="00E70CA8"/>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07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010"/>
    <w:rsid w:val="00EB143E"/>
    <w:rsid w:val="00EB1697"/>
    <w:rsid w:val="00EB20AC"/>
    <w:rsid w:val="00EB2E8C"/>
    <w:rsid w:val="00EB3416"/>
    <w:rsid w:val="00EB36E3"/>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17B"/>
    <w:rsid w:val="00F3674F"/>
    <w:rsid w:val="00F368CE"/>
    <w:rsid w:val="00F36C86"/>
    <w:rsid w:val="00F379A6"/>
    <w:rsid w:val="00F409E1"/>
    <w:rsid w:val="00F410B5"/>
    <w:rsid w:val="00F41539"/>
    <w:rsid w:val="00F41CE1"/>
    <w:rsid w:val="00F428A8"/>
    <w:rsid w:val="00F43E01"/>
    <w:rsid w:val="00F45056"/>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DF4"/>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87EFC"/>
    <w:rsid w:val="00F902F7"/>
    <w:rsid w:val="00F90DC5"/>
    <w:rsid w:val="00F91752"/>
    <w:rsid w:val="00F91E39"/>
    <w:rsid w:val="00F92356"/>
    <w:rsid w:val="00F92650"/>
    <w:rsid w:val="00F92E78"/>
    <w:rsid w:val="00F9306D"/>
    <w:rsid w:val="00F94AB8"/>
    <w:rsid w:val="00F95C0A"/>
    <w:rsid w:val="00F964FD"/>
    <w:rsid w:val="00F96F81"/>
    <w:rsid w:val="00F9741D"/>
    <w:rsid w:val="00F97515"/>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29C"/>
    <w:rsid w:val="00FE044B"/>
    <w:rsid w:val="00FE0555"/>
    <w:rsid w:val="00FE0EA1"/>
    <w:rsid w:val="00FE1092"/>
    <w:rsid w:val="00FE1A61"/>
    <w:rsid w:val="00FE1C42"/>
    <w:rsid w:val="00FE1DE1"/>
    <w:rsid w:val="00FE2220"/>
    <w:rsid w:val="00FE22B4"/>
    <w:rsid w:val="00FE2628"/>
    <w:rsid w:val="00FE34B0"/>
    <w:rsid w:val="00FE4CD0"/>
    <w:rsid w:val="00FE5144"/>
    <w:rsid w:val="00FE5B1E"/>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B77"/>
    <w:rsid w:val="00FF7E3F"/>
    <w:rsid w:val="27F75DB4"/>
    <w:rsid w:val="339F7B75"/>
    <w:rsid w:val="3DDF1ABD"/>
    <w:rsid w:val="5C9C50E4"/>
    <w:rsid w:val="5FEF724A"/>
    <w:rsid w:val="7DF79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40903F"/>
  <w15:docId w15:val="{EDF454A6-E0AA-4E8E-9216-C33D99B1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header" w:qFormat="1"/>
    <w:lsdException w:name="footer" w:qFormat="1"/>
    <w:lsdException w:name="caption" w:semiHidden="1" w:unhideWhenUsed="1" w:qFormat="1"/>
    <w:lsdException w:name="footnote reference" w:semiHidden="1"/>
    <w:lsdException w:name="annotation reference" w:uiPriority="99" w:qFormat="1"/>
    <w:lsdException w:name="List 3" w:qFormat="1"/>
    <w:lsdException w:name="List Bullet 2" w:qFormat="1"/>
    <w:lsdException w:name="List Bullet 3"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010"/>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EB101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1010"/>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Char"/>
    <w:uiPriority w:val="99"/>
    <w:qFormat/>
    <w:pPr>
      <w:widowControl/>
      <w:overflowPunct w:val="0"/>
      <w:autoSpaceDE w:val="0"/>
      <w:autoSpaceDN w:val="0"/>
      <w:adjustRightInd w:val="0"/>
      <w:spacing w:after="180"/>
      <w:jc w:val="left"/>
    </w:pPr>
    <w:rPr>
      <w:rFonts w:ascii="Times New Roman" w:eastAsia="Times New Roman" w:hAnsi="Times New Roman" w:cs="Times New Roman"/>
      <w:kern w:val="0"/>
      <w:sz w:val="20"/>
      <w:szCs w:val="20"/>
    </w:rPr>
  </w:style>
  <w:style w:type="paragraph" w:styleId="a8">
    <w:name w:val="Body Text"/>
    <w:basedOn w:val="a"/>
  </w:style>
  <w:style w:type="paragraph" w:styleId="a9">
    <w:name w:val="Body Text Indent"/>
    <w:basedOn w:val="a"/>
    <w:pPr>
      <w:ind w:left="720"/>
    </w:pPr>
    <w:rPr>
      <w:b/>
      <w:bCs/>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a">
    <w:name w:val="Date"/>
    <w:basedOn w:val="a"/>
    <w:next w:val="a"/>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pPr>
      <w:keepLines/>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
    <w:name w:val="Normal (Web)"/>
    <w:basedOn w:val="a"/>
    <w:uiPriority w:val="99"/>
    <w:unhideWhenUsed/>
    <w:pPr>
      <w:spacing w:before="100" w:beforeAutospacing="1" w:after="100" w:afterAutospacing="1"/>
    </w:pPr>
    <w:rPr>
      <w:rFonts w:ascii="宋体" w:eastAsia="宋体" w:hAnsi="宋体" w:cs="宋体"/>
      <w:sz w:val="24"/>
      <w:szCs w:val="24"/>
    </w:rPr>
  </w:style>
  <w:style w:type="paragraph" w:styleId="11">
    <w:name w:val="index 1"/>
    <w:basedOn w:val="a"/>
    <w:next w:val="a"/>
    <w:semiHidden/>
    <w:pPr>
      <w:keepLines/>
    </w:pPr>
  </w:style>
  <w:style w:type="paragraph" w:styleId="24">
    <w:name w:val="index 2"/>
    <w:basedOn w:val="11"/>
    <w:next w:val="a"/>
    <w:semiHidden/>
    <w:qFormat/>
    <w:pPr>
      <w:ind w:left="284"/>
    </w:pPr>
  </w:style>
  <w:style w:type="paragraph" w:styleId="af0">
    <w:name w:val="Title"/>
    <w:basedOn w:val="a"/>
    <w:next w:val="a"/>
    <w:link w:val="Char0"/>
    <w:qFormat/>
    <w:pPr>
      <w:spacing w:before="240" w:after="60"/>
      <w:jc w:val="center"/>
      <w:outlineLvl w:val="0"/>
    </w:pPr>
    <w:rPr>
      <w:rFonts w:ascii="Calibri Light" w:eastAsia="宋体" w:hAnsi="Calibri Light"/>
      <w:b/>
      <w:bCs/>
      <w:sz w:val="32"/>
      <w:szCs w:val="32"/>
    </w:rPr>
  </w:style>
  <w:style w:type="paragraph" w:styleId="af1">
    <w:name w:val="annotation subject"/>
    <w:basedOn w:val="a7"/>
    <w:next w:val="a7"/>
    <w:semiHidden/>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rPr>
      <w:color w:val="0000FF"/>
      <w:u w:val="single"/>
    </w:rPr>
  </w:style>
  <w:style w:type="character" w:styleId="af7">
    <w:name w:val="annotation reference"/>
    <w:uiPriority w:val="99"/>
    <w:qFormat/>
    <w:rPr>
      <w:sz w:val="16"/>
      <w:szCs w:val="16"/>
    </w:rPr>
  </w:style>
  <w:style w:type="character" w:styleId="af8">
    <w:name w:val="footnote reference"/>
    <w:semiHidden/>
    <w:rPr>
      <w:b/>
      <w:position w:val="6"/>
      <w:sz w:val="16"/>
    </w:rPr>
  </w:style>
  <w:style w:type="paragraph" w:customStyle="1" w:styleId="normalpuce">
    <w:name w:val="normal puce"/>
    <w:basedOn w:val="a"/>
    <w:pPr>
      <w:tabs>
        <w:tab w:val="left" w:pos="360"/>
      </w:tabs>
      <w:ind w:left="360" w:hanging="360"/>
    </w:pPr>
  </w:style>
  <w:style w:type="paragraph" w:customStyle="1" w:styleId="B1">
    <w:name w:val="B1"/>
    <w:basedOn w:val="a3"/>
    <w:link w:val="B1Char"/>
    <w:qFormat/>
  </w:style>
  <w:style w:type="paragraph" w:customStyle="1" w:styleId="TAL">
    <w:name w:val="TAL"/>
    <w:basedOn w:val="a"/>
    <w:link w:val="TALCar"/>
    <w:qFormat/>
    <w:pPr>
      <w:keepNext/>
      <w:keepLines/>
    </w:pPr>
    <w:rPr>
      <w:rFonts w:ascii="Arial" w:hAnsi="Arial"/>
      <w:sz w:val="18"/>
    </w:rPr>
  </w:style>
  <w:style w:type="paragraph" w:customStyle="1" w:styleId="RecCCITT">
    <w:name w:val="Rec_CCITT_#"/>
    <w:basedOn w:val="a"/>
    <w:pPr>
      <w:keepNext/>
      <w:keepLines/>
    </w:pPr>
    <w:rPr>
      <w:b/>
      <w:bCs/>
    </w:r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a0"/>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pPr>
      <w:spacing w:before="60"/>
      <w:ind w:left="1259" w:hanging="1259"/>
    </w:pPr>
    <w:rPr>
      <w:rFonts w:ascii="Arial" w:hAnsi="Arial"/>
      <w:lang w:eastAsia="ja-JP"/>
    </w:rPr>
  </w:style>
  <w:style w:type="paragraph" w:customStyle="1" w:styleId="Doc-text2">
    <w:name w:val="Doc-text2"/>
    <w:basedOn w:val="a"/>
    <w:link w:val="Doc-text2Char"/>
    <w:qFormat/>
    <w:pPr>
      <w:tabs>
        <w:tab w:val="left" w:pos="1622"/>
      </w:tabs>
      <w:ind w:left="1622" w:hanging="363"/>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Agreement">
    <w:name w:val="Agreement"/>
    <w:basedOn w:val="a"/>
    <w:next w:val="Doc-text2"/>
    <w:qFormat/>
    <w:pPr>
      <w:numPr>
        <w:numId w:val="1"/>
      </w:numPr>
      <w:tabs>
        <w:tab w:val="left" w:pos="1619"/>
      </w:tabs>
      <w:spacing w:before="60"/>
      <w:ind w:left="1616" w:hanging="357"/>
    </w:pPr>
    <w:rPr>
      <w:rFonts w:ascii="Arial" w:hAnsi="Arial"/>
      <w:b/>
      <w:lang w:eastAsia="ja-JP"/>
    </w:rPr>
  </w:style>
  <w:style w:type="character" w:customStyle="1" w:styleId="B1Char">
    <w:name w:val="B1 Char"/>
    <w:link w:val="B1"/>
    <w:rPr>
      <w:rFonts w:eastAsia="Times New Roman"/>
      <w:lang w:val="en-GB" w:eastAsia="en-US"/>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qFormat/>
    <w:rPr>
      <w:rFonts w:eastAsia="Times New Roman"/>
      <w:lang w:val="en-GB" w:eastAsia="ja-JP"/>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paragraph" w:styleId="af9">
    <w:name w:val="List Paragraph"/>
    <w:basedOn w:val="a"/>
    <w:link w:val="Char1"/>
    <w:uiPriority w:val="34"/>
    <w:qFormat/>
    <w:pPr>
      <w:ind w:left="720"/>
    </w:pPr>
    <w:rPr>
      <w:rFonts w:ascii="Calibri" w:eastAsia="Calibri" w:hAnsi="Calibri"/>
      <w:sz w:val="22"/>
    </w:rPr>
  </w:style>
  <w:style w:type="character" w:customStyle="1" w:styleId="Char1">
    <w:name w:val="列出段落 Char"/>
    <w:link w:val="af9"/>
    <w:uiPriority w:val="34"/>
    <w:qFormat/>
    <w:locked/>
    <w:rPr>
      <w:rFonts w:ascii="Calibri" w:eastAsia="Calibri" w:hAnsi="Calibri"/>
      <w:sz w:val="22"/>
      <w:szCs w:val="22"/>
      <w:lang w:val="en-GB" w:eastAsia="en-US"/>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Char">
    <w:name w:val="NO Char"/>
    <w:link w:val="NO"/>
    <w:qFormat/>
    <w:rPr>
      <w:rFonts w:eastAsia="Times New Roman"/>
      <w:lang w:val="en-GB" w:eastAsia="en-US"/>
    </w:rPr>
  </w:style>
  <w:style w:type="paragraph" w:customStyle="1" w:styleId="Proposal">
    <w:name w:val="Proposal"/>
    <w:basedOn w:val="a8"/>
    <w:link w:val="ProposalChar"/>
    <w:qFormat/>
    <w:pPr>
      <w:numPr>
        <w:numId w:val="2"/>
      </w:numPr>
      <w:tabs>
        <w:tab w:val="left" w:pos="1701"/>
      </w:tabs>
      <w:spacing w:after="120" w:line="259" w:lineRule="auto"/>
    </w:pPr>
    <w:rPr>
      <w:rFonts w:ascii="Arial" w:eastAsia="宋体" w:hAnsi="Arial"/>
      <w:b/>
      <w:bCs/>
    </w:rPr>
  </w:style>
  <w:style w:type="character" w:customStyle="1" w:styleId="Char0">
    <w:name w:val="标题 Char"/>
    <w:link w:val="af0"/>
    <w:rPr>
      <w:rFonts w:ascii="Calibri Light" w:eastAsia="宋体" w:hAnsi="Calibri Light" w:cs="Times New Roman"/>
      <w:b/>
      <w:bCs/>
      <w:sz w:val="32"/>
      <w:szCs w:val="32"/>
      <w:lang w:val="en-GB" w:eastAsia="en-US"/>
    </w:rPr>
  </w:style>
  <w:style w:type="character" w:customStyle="1" w:styleId="5Char">
    <w:name w:val="标题 5 Char"/>
    <w:link w:val="5"/>
    <w:qFormat/>
    <w:rPr>
      <w:rFonts w:ascii="Arial" w:eastAsia="Times New Roman" w:hAnsi="Arial"/>
      <w:sz w:val="22"/>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character" w:customStyle="1" w:styleId="Char">
    <w:name w:val="批注文字 Char"/>
    <w:link w:val="a7"/>
    <w:uiPriority w:val="99"/>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ProposalChar">
    <w:name w:val="Proposal Char"/>
    <w:link w:val="Proposal"/>
    <w:qFormat/>
    <w:rPr>
      <w:rFonts w:ascii="Arial" w:eastAsia="宋体" w:hAnsi="Arial"/>
      <w:b/>
      <w:bCs/>
      <w:lang w:val="en-GB"/>
    </w:rPr>
  </w:style>
  <w:style w:type="character" w:customStyle="1" w:styleId="EditorsNoteChar">
    <w:name w:val="Editor's Note Char"/>
    <w:link w:val="EditorsNote"/>
    <w:qFormat/>
    <w:rPr>
      <w:rFonts w:eastAsia="Times New Roman"/>
      <w:color w:val="FF0000"/>
      <w:lang w:val="en-GB" w:eastAsia="en-US"/>
    </w:rPr>
  </w:style>
  <w:style w:type="character" w:customStyle="1" w:styleId="TALChar">
    <w:name w:val="TAL Char"/>
    <w:locked/>
    <w:rPr>
      <w:rFonts w:ascii="Arial" w:eastAsia="Times New Roman" w:hAnsi="Arial"/>
      <w:sz w:val="18"/>
      <w:lang w:val="en-GB" w:eastAsia="ja-JP"/>
    </w:rPr>
  </w:style>
  <w:style w:type="paragraph" w:customStyle="1" w:styleId="EmailDiscussion2">
    <w:name w:val="EmailDiscussion2"/>
    <w:basedOn w:val="Doc-text2"/>
    <w:qFormat/>
    <w:rPr>
      <w:rFonts w:ascii="Times New Roman" w:hAnsi="Times New Roman"/>
      <w:sz w:val="24"/>
      <w:szCs w:val="24"/>
      <w:lang w:eastAsia="zh-CN"/>
    </w:rPr>
  </w:style>
  <w:style w:type="character" w:customStyle="1" w:styleId="2Char">
    <w:name w:val="标题 2 Char"/>
    <w:basedOn w:val="a0"/>
    <w:link w:val="2"/>
    <w:rPr>
      <w:rFonts w:ascii="Calibri Light" w:eastAsia="Yu Gothic Light" w:hAnsi="Calibri Light" w:cs="Times New Roman"/>
      <w:b/>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942</Words>
  <Characters>5372</Characters>
  <Application>Microsoft Office Word</Application>
  <DocSecurity>0</DocSecurity>
  <Lines>44</Lines>
  <Paragraphs>12</Paragraphs>
  <ScaleCrop>false</ScaleCrop>
  <Company>Huawei Technologies Co.,Ltd.</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16</cp:revision>
  <cp:lastPrinted>2014-08-14T01:20:00Z</cp:lastPrinted>
  <dcterms:created xsi:type="dcterms:W3CDTF">2021-12-14T18:45:00Z</dcterms:created>
  <dcterms:modified xsi:type="dcterms:W3CDTF">2022-01-11T07:00:00Z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(3)W/gVbaSugq0CFuaYNyPjzStP/PExMO6XaOZtJxq7oTfkl5EC2B9yN4AeR3972UsmwmsB5GQ5
FNZu1x0YyC8Rh1O4KVs2NXCcl4tJygcImRkS+mp+zekCeWhm6chWos9rdzcYWQl/9akrjFPe
VTvn3+AYIbNsDowVBMkU/dOyRylq1X+d51B5XehnZDo9VZfIt7vDNkMefrQ8zvgtY2hZRktN
7da0h5bwMTMnhedlsf</vt:lpwstr>
  </property>
  <property fmtid="{D5CDD505-2E9C-101B-9397-08002B2CF9AE}" pid="3" name="_2015_ms_pID_7253431">
    <vt:lpwstr>iTsjQHH2vlPAkQjH5G1Cei5M2s1arQbNVSYoZoLuMIPcv8Ot34PiA2
xWGltDT38ifXpu3ZfBiRuGYEBjPFw/fjOGC9UO7luidf6lr43t+w678YsUGLeOYuMYkOd/6s
4Wdzlqb4nfa97FnV0T5bFH2uJgtFlDknzKfxubFmBcTGFRuh18QqtXibtvTJWLQdJyEoeolU
2Wazf/5OV0E5zHDrw/8I3L8t6vX9o6/deRqe</vt:lpwstr>
  </property>
  <property fmtid="{D5CDD505-2E9C-101B-9397-08002B2CF9AE}" pid="4" name="_2015_ms_pID_7253432">
    <vt:lpwstr>jC1Y7M00xXoqm6oPJ+ZoHD8=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1640310334</vt:lpwstr>
  </property>
  <property fmtid="{D5CDD505-2E9C-101B-9397-08002B2CF9AE}" pid="9" name="KSOProductBuildVer">
    <vt:lpwstr>2052-0.0.0.0</vt:lpwstr>
  </property>
</Properties>
</file>